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8E" w:rsidRDefault="00911A8E" w:rsidP="00911A8E">
      <w:pPr>
        <w:rPr>
          <w:rFonts w:cs="Arial"/>
          <w:b/>
          <w:sz w:val="36"/>
          <w:szCs w:val="36"/>
        </w:rPr>
      </w:pPr>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proofErr w:type="gramStart"/>
      <w:r>
        <w:rPr>
          <w:rFonts w:cs="Arial"/>
          <w:b/>
          <w:bCs/>
          <w:sz w:val="28"/>
          <w:szCs w:val="28"/>
        </w:rPr>
        <w:t>Part</w:t>
      </w:r>
      <w:r w:rsidRPr="00E95611">
        <w:rPr>
          <w:rFonts w:cs="Arial"/>
          <w:b/>
          <w:bCs/>
          <w:sz w:val="28"/>
          <w:szCs w:val="28"/>
        </w:rPr>
        <w:t xml:space="preserve"> 1.</w:t>
      </w:r>
      <w:proofErr w:type="gramEnd"/>
      <w:r w:rsidRPr="00E95611">
        <w:rPr>
          <w:rFonts w:cs="Arial"/>
          <w:b/>
          <w:bCs/>
          <w:sz w:val="28"/>
          <w:szCs w:val="28"/>
        </w:rPr>
        <w:t xml:space="preserve">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proofErr w:type="gramStart"/>
      <w:r>
        <w:rPr>
          <w:rFonts w:cs="Arial"/>
          <w:b/>
          <w:bCs/>
          <w:sz w:val="28"/>
          <w:szCs w:val="28"/>
        </w:rPr>
        <w:t>Part</w:t>
      </w:r>
      <w:r w:rsidRPr="00E95611">
        <w:rPr>
          <w:rFonts w:cs="Arial"/>
          <w:b/>
          <w:bCs/>
          <w:sz w:val="28"/>
          <w:szCs w:val="28"/>
        </w:rPr>
        <w:t xml:space="preserve"> 2.</w:t>
      </w:r>
      <w:proofErr w:type="gramEnd"/>
      <w:r w:rsidRPr="00E95611">
        <w:rPr>
          <w:rFonts w:cs="Arial"/>
          <w:b/>
          <w:bCs/>
          <w:sz w:val="28"/>
          <w:szCs w:val="28"/>
        </w:rPr>
        <w:t xml:space="preserve">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proofErr w:type="gramStart"/>
      <w:r>
        <w:rPr>
          <w:rFonts w:cs="Arial"/>
          <w:b/>
          <w:bCs/>
          <w:sz w:val="28"/>
          <w:szCs w:val="28"/>
        </w:rPr>
        <w:t>Part</w:t>
      </w:r>
      <w:r w:rsidRPr="00E95611">
        <w:rPr>
          <w:rFonts w:cs="Arial"/>
          <w:b/>
          <w:bCs/>
          <w:sz w:val="28"/>
          <w:szCs w:val="28"/>
        </w:rPr>
        <w:t xml:space="preserve"> 3.</w:t>
      </w:r>
      <w:proofErr w:type="gramEnd"/>
      <w:r w:rsidRPr="00E95611">
        <w:rPr>
          <w:rFonts w:cs="Arial"/>
          <w:b/>
          <w:bCs/>
          <w:sz w:val="28"/>
          <w:szCs w:val="28"/>
        </w:rPr>
        <w:t xml:space="preserve">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proofErr w:type="gramStart"/>
      <w:r>
        <w:rPr>
          <w:rFonts w:cs="Arial"/>
          <w:b/>
          <w:bCs/>
          <w:sz w:val="28"/>
          <w:szCs w:val="28"/>
        </w:rPr>
        <w:t>Part</w:t>
      </w:r>
      <w:r w:rsidRPr="00E95611">
        <w:rPr>
          <w:rFonts w:cs="Arial"/>
          <w:b/>
          <w:bCs/>
          <w:sz w:val="28"/>
          <w:szCs w:val="28"/>
        </w:rPr>
        <w:t xml:space="preserve"> 4.</w:t>
      </w:r>
      <w:proofErr w:type="gramEnd"/>
      <w:r w:rsidRPr="00E95611">
        <w:rPr>
          <w:rFonts w:cs="Arial"/>
          <w:b/>
          <w:bCs/>
          <w:sz w:val="28"/>
          <w:szCs w:val="28"/>
        </w:rPr>
        <w:t xml:space="preserve">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w:t>
      </w:r>
      <w:proofErr w:type="gramStart"/>
      <w:r>
        <w:rPr>
          <w:rFonts w:cs="Arial"/>
          <w:b/>
          <w:bCs/>
          <w:sz w:val="28"/>
          <w:szCs w:val="28"/>
        </w:rPr>
        <w:t>Part</w:t>
      </w:r>
      <w:r w:rsidRPr="00E95611">
        <w:rPr>
          <w:rFonts w:cs="Arial"/>
          <w:b/>
          <w:bCs/>
          <w:sz w:val="28"/>
          <w:szCs w:val="28"/>
        </w:rPr>
        <w:t xml:space="preserve"> 5.</w:t>
      </w:r>
      <w:proofErr w:type="gramEnd"/>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285A0F">
        <w:pict>
          <v:group id="_x0000_s1026" editas="canvas" style="width:414pt;height:648.05pt;mso-position-horizontal-relative:char;mso-position-vertical-relative:line" coordorigin="3262,1191" coordsize="6900,111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62;top:1191;width:6900;height:1111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5362;top:1654;width:2850;height:926">
              <v:textbox style="mso-next-textbox:#_x0000_s1028">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_x0000_s1029" style="position:absolute;left:5062;top:3197;width:3450;height:926">
              <v:textbox style="mso-next-textbox:#_x0000_s1029">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_x0000_s1030" style="position:absolute" from="6712,5049" to="6713,5666">
              <v:stroke endarrow="block"/>
            </v:line>
            <v:rect id="_x0000_s1031" style="position:absolute;left:5512;top:4894;width:2700;height:771">
              <v:textbox style="mso-next-textbox:#_x0000_s1031">
                <w:txbxContent>
                  <w:p w:rsidR="00252F8F" w:rsidRDefault="00252F8F" w:rsidP="00911A8E">
                    <w:pPr>
                      <w:ind w:left="180"/>
                    </w:pPr>
                    <w:r>
                      <w:t xml:space="preserve">Screening </w:t>
                    </w:r>
                    <w:proofErr w:type="gramStart"/>
                    <w:r>
                      <w:t>Decision  None</w:t>
                    </w:r>
                    <w:proofErr w:type="gramEnd"/>
                    <w:r>
                      <w:t>/Minor/Major</w:t>
                    </w:r>
                  </w:p>
                </w:txbxContent>
              </v:textbox>
            </v:rect>
            <v:rect id="_x0000_s1032" style="position:absolute;left:6022;top:7054;width:1200;height:1235">
              <v:textbox style="mso-next-textbox:#_x0000_s1032">
                <w:txbxContent>
                  <w:p w:rsidR="00252F8F" w:rsidRDefault="00252F8F" w:rsidP="00911A8E">
                    <w:r>
                      <w:t>Mitigate</w:t>
                    </w:r>
                  </w:p>
                </w:txbxContent>
              </v:textbox>
            </v:rect>
            <v:rect id="_x0000_s1033" style="position:absolute;left:8062;top:7054;width:1200;height:1235">
              <v:textbox style="mso-next-textbox:#_x0000_s1033">
                <w:txbxContent>
                  <w:p w:rsidR="00252F8F" w:rsidRDefault="00252F8F" w:rsidP="00911A8E">
                    <w:r>
                      <w:t xml:space="preserve">  Publish                                                                                                    Template</w:t>
                    </w:r>
                  </w:p>
                </w:txbxContent>
              </v:textbox>
            </v:rect>
            <v:rect id="_x0000_s1034" style="position:absolute;left:4012;top:9214;width:1350;height:1236">
              <v:textbox style="mso-next-textbox:#_x0000_s1034">
                <w:txbxContent>
                  <w:p w:rsidR="00252F8F" w:rsidRDefault="00252F8F" w:rsidP="00911A8E">
                    <w:r>
                      <w:t>Re-consider screening</w:t>
                    </w:r>
                  </w:p>
                </w:txbxContent>
              </v:textbox>
            </v:rect>
            <v:rect id="_x0000_s1035" style="position:absolute;left:4012;top:7054;width:1350;height:1235">
              <v:textbox style="mso-next-textbox:#_x0000_s1035">
                <w:txbxContent>
                  <w:p w:rsidR="00252F8F" w:rsidRDefault="00252F8F" w:rsidP="00911A8E">
                    <w:r>
                      <w:t>Publish Template</w:t>
                    </w:r>
                  </w:p>
                  <w:p w:rsidR="00252F8F" w:rsidRDefault="00252F8F" w:rsidP="00911A8E">
                    <w:proofErr w:type="gramStart"/>
                    <w:r>
                      <w:t>for</w:t>
                    </w:r>
                    <w:proofErr w:type="gramEnd"/>
                    <w:r>
                      <w:t xml:space="preserve"> information</w:t>
                    </w:r>
                  </w:p>
                </w:txbxContent>
              </v:textbox>
            </v:rect>
            <v:rect id="_x0000_s1036" style="position:absolute;left:6112;top:9214;width:1200;height:1236">
              <v:textbox style="mso-next-textbox:#_x0000_s1036">
                <w:txbxContent>
                  <w:p w:rsidR="00252F8F" w:rsidRDefault="00252F8F" w:rsidP="00911A8E">
                    <w:r>
                      <w:t>Publish Template</w:t>
                    </w:r>
                  </w:p>
                </w:txbxContent>
              </v:textbox>
            </v:rect>
            <v:rect id="_x0000_s1037" style="position:absolute;left:8062;top:9214;width:1200;height:1236">
              <v:textbox style="mso-next-textbox:#_x0000_s1037">
                <w:txbxContent>
                  <w:p w:rsidR="00252F8F" w:rsidRDefault="00252F8F" w:rsidP="00911A8E">
                    <w:r>
                      <w:t xml:space="preserve">     EQIA</w:t>
                    </w:r>
                  </w:p>
                </w:txbxContent>
              </v:textbox>
            </v:rect>
            <v:rect id="_x0000_s1038" style="position:absolute;left:6112;top:11066;width:1200;height:1080">
              <v:textbox style="mso-next-textbox:#_x0000_s1038">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_x0000_s1039" type="#_x0000_t202" style="position:absolute;left:4312;top:5820;width:1500;height:617" stroked="f">
              <v:textbox style="mso-next-textbox:#_x0000_s1039">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_x0000_s1040" type="#_x0000_t202" style="position:absolute;left:7912;top:5820;width:1200;height:926" stroked="f">
              <v:textbox style="mso-next-textbox:#_x0000_s1040">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_x0000_s1041" style="position:absolute;flip:x" from="5212,5665" to="5962,7054">
              <v:stroke endarrow="block"/>
            </v:line>
            <v:line id="_x0000_s1042" style="position:absolute" from="7462,5665" to="8062,7054">
              <v:stroke endarrow="block"/>
            </v:line>
            <v:shape id="_x0000_s1043" type="#_x0000_t202" style="position:absolute;left:5962;top:5820;width:1200;height:1234" stroked="f">
              <v:textbox style="mso-next-textbox:#_x0000_s1043">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_x0000_s1044" style="position:absolute" from="7162,5665" to="7162,7054">
              <v:stroke endarrow="block"/>
            </v:line>
            <v:shape id="_x0000_s1045" type="#_x0000_t202" style="position:absolute;left:4762;top:10603;width:1200;height:926" stroked="f">
              <v:textbox style="mso-next-textbox:#_x0000_s1045">
                <w:txbxContent>
                  <w:p w:rsidR="00252F8F" w:rsidRPr="00305E79" w:rsidRDefault="00252F8F" w:rsidP="00911A8E">
                    <w:pPr>
                      <w:rPr>
                        <w:sz w:val="22"/>
                        <w:szCs w:val="22"/>
                      </w:rPr>
                    </w:pPr>
                    <w:r w:rsidRPr="00305E79">
                      <w:rPr>
                        <w:sz w:val="22"/>
                        <w:szCs w:val="22"/>
                      </w:rPr>
                      <w:t xml:space="preserve">Concerns </w:t>
                    </w:r>
                    <w:proofErr w:type="gramStart"/>
                    <w:r w:rsidRPr="00305E79">
                      <w:rPr>
                        <w:sz w:val="22"/>
                        <w:szCs w:val="22"/>
                      </w:rPr>
                      <w:t>raised</w:t>
                    </w:r>
                    <w:proofErr w:type="gramEnd"/>
                    <w:r w:rsidRPr="00305E79">
                      <w:rPr>
                        <w:sz w:val="22"/>
                        <w:szCs w:val="22"/>
                      </w:rPr>
                      <w:t xml:space="preserve"> with evidence</w:t>
                    </w:r>
                  </w:p>
                </w:txbxContent>
              </v:textbox>
            </v:shape>
            <v:shape id="_x0000_s1046" type="#_x0000_t202" style="position:absolute;left:4162;top:8443;width:1950;height:771" stroked="f">
              <v:textbox style="mso-next-textbox:#_x0000_s1046">
                <w:txbxContent>
                  <w:p w:rsidR="00252F8F" w:rsidRDefault="00252F8F" w:rsidP="00911A8E">
                    <w:r w:rsidRPr="007C34EB">
                      <w:rPr>
                        <w:sz w:val="22"/>
                        <w:szCs w:val="22"/>
                      </w:rPr>
                      <w:t xml:space="preserve">Concerns </w:t>
                    </w:r>
                    <w:proofErr w:type="gramStart"/>
                    <w:r w:rsidRPr="007C34EB">
                      <w:rPr>
                        <w:sz w:val="22"/>
                        <w:szCs w:val="22"/>
                      </w:rPr>
                      <w:t>raised</w:t>
                    </w:r>
                    <w:proofErr w:type="gramEnd"/>
                    <w:r w:rsidRPr="007C34EB">
                      <w:rPr>
                        <w:sz w:val="22"/>
                        <w:szCs w:val="22"/>
                      </w:rPr>
                      <w:t xml:space="preserve"> with evidence</w:t>
                    </w:r>
                    <w:r>
                      <w:rPr>
                        <w:sz w:val="22"/>
                        <w:szCs w:val="22"/>
                      </w:rPr>
                      <w:t xml:space="preserve"> re:</w:t>
                    </w:r>
                    <w:r w:rsidRPr="007C34EB">
                      <w:rPr>
                        <w:sz w:val="22"/>
                        <w:szCs w:val="22"/>
                      </w:rPr>
                      <w:t xml:space="preserve"> </w:t>
                    </w:r>
                    <w:r>
                      <w:rPr>
                        <w:sz w:val="22"/>
                        <w:szCs w:val="22"/>
                      </w:rPr>
                      <w:t>screening decision</w:t>
                    </w:r>
                  </w:p>
                </w:txbxContent>
              </v:textbox>
            </v:shape>
            <v:line id="_x0000_s1047" style="position:absolute" from="4162,8289" to="4162,9214">
              <v:stroke endarrow="block"/>
            </v:line>
            <v:line id="_x0000_s1048" style="position:absolute" from="6712,8289" to="6712,9214">
              <v:stroke endarrow="block"/>
            </v:line>
            <v:line id="_x0000_s1049" style="position:absolute" from="6712,10449" to="6712,11066">
              <v:stroke endarrow="block"/>
            </v:line>
            <v:line id="_x0000_s1050" style="position:absolute;flip:x y" from="5212,10449" to="6112,11066">
              <v:stroke endarrow="block"/>
            </v:line>
            <v:line id="_x0000_s1051" style="position:absolute" from="8662,8289" to="8662,9214">
              <v:stroke endarrow="block"/>
            </v:line>
            <v:line id="_x0000_s1052" style="position:absolute" from="6562,4123" to="6563,4894">
              <v:stroke endarrow="block"/>
            </v:line>
            <v:line id="_x0000_s1053" style="position:absolute" from="7312,11837" to="10012,11837"/>
            <v:line id="_x0000_s1054" style="position:absolute;flip:y" from="10012,5357" to="10012,11837"/>
            <v:line id="_x0000_s1055" style="position:absolute;flip:x" from="8212,5357" to="10012,5358">
              <v:stroke endarrow="block"/>
            </v:line>
            <v:shape id="_x0000_s1056" style="position:absolute;left:3626;top:9822;width:386;height:9" coordsize="463,10" path="m463,10l,e" filled="f">
              <v:path arrowok="t"/>
            </v:shape>
            <v:line id="_x0000_s1057" style="position:absolute" from="6562,2580" to="6563,3197">
              <v:stroke endarrow="block"/>
            </v:line>
            <v:line id="_x0000_s1058" style="position:absolute;flip:y" from="3622,3660" to="3623,9831"/>
            <v:shape id="_x0000_s1059" style="position:absolute;left:3622;top:3660;width:1500;height:3" coordsize="1800,4" path="m,l1550,4r45,l1800,2e" filled="f">
              <v:stroke endarrow="block"/>
              <v:path arrowok="t"/>
            </v:shape>
            <v:shape id="_x0000_s1060" style="position:absolute;left:5351;top:7671;width:671;height:4" coordsize="805,4" path="m805,l,4r15,l,4e" filled="f">
              <v:stroke endarrow="block"/>
              <v:path arrowok="t"/>
            </v:shape>
            <w10:wrap type="none" side="left"/>
            <w10:anchorlock/>
          </v:group>
        </w:pict>
      </w:r>
    </w:p>
    <w:p w:rsidR="00911A8E" w:rsidRDefault="00911A8E" w:rsidP="00911A8E">
      <w:pPr>
        <w:rPr>
          <w:rFonts w:cs="Arial"/>
          <w:b/>
          <w:sz w:val="28"/>
          <w:szCs w:val="28"/>
        </w:rPr>
      </w:pPr>
      <w:r>
        <w:rPr>
          <w:rFonts w:cs="Arial"/>
          <w:b/>
          <w:sz w:val="28"/>
          <w:szCs w:val="28"/>
        </w:rPr>
        <w:br w:type="page"/>
      </w:r>
      <w:proofErr w:type="gramStart"/>
      <w:r>
        <w:rPr>
          <w:rFonts w:cs="Arial"/>
          <w:b/>
          <w:sz w:val="28"/>
          <w:szCs w:val="28"/>
        </w:rPr>
        <w:lastRenderedPageBreak/>
        <w:t>Part 1.</w:t>
      </w:r>
      <w:proofErr w:type="gramEnd"/>
      <w:r>
        <w:rPr>
          <w:rFonts w:cs="Arial"/>
          <w:b/>
          <w:sz w:val="28"/>
          <w:szCs w:val="28"/>
        </w:rPr>
        <w:t xml:space="preserve">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903349" w:rsidP="00903349">
            <w:r>
              <w:t>Recruitment</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903349" w:rsidP="00903349">
            <w:r>
              <w:t>New</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911A8E" w:rsidRDefault="00911A8E" w:rsidP="00903349">
            <w:r>
              <w:t xml:space="preserve">To provide </w:t>
            </w:r>
            <w:r w:rsidR="00903349">
              <w:t xml:space="preserve">clarity and consistency in the approach to recruitment and selection processes both internally and externally. </w:t>
            </w:r>
          </w:p>
          <w:p w:rsidR="00911A8E" w:rsidRPr="00495BF0" w:rsidRDefault="00911A8E"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911A8E" w:rsidP="00903349">
            <w:r>
              <w:t xml:space="preserve">Human Resources Manager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911A8E" w:rsidP="00903349">
            <w:pPr>
              <w:rPr>
                <w:rFonts w:cs="Arial"/>
                <w:szCs w:val="24"/>
              </w:rPr>
            </w:pPr>
            <w:r w:rsidRPr="003D4CD3">
              <w:rPr>
                <w:rFonts w:cs="Arial"/>
                <w:szCs w:val="24"/>
              </w:rPr>
              <w:t>Chief Executive</w:t>
            </w:r>
            <w:r>
              <w:rPr>
                <w:rFonts w:cs="Arial"/>
                <w:szCs w:val="24"/>
              </w:rPr>
              <w:t>, SMT, Director of Corporate Services and HR Manager.</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lastRenderedPageBreak/>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285A0F" w:rsidP="00911A8E">
      <w:pPr>
        <w:rPr>
          <w:rFonts w:cs="Arial"/>
          <w:sz w:val="28"/>
          <w:szCs w:val="28"/>
        </w:rPr>
      </w:pPr>
      <w:r>
        <w:rPr>
          <w:rFonts w:cs="Arial"/>
          <w:noProof/>
          <w:sz w:val="28"/>
          <w:szCs w:val="28"/>
          <w:lang w:eastAsia="en-GB"/>
        </w:rPr>
        <w:pict>
          <v:rect id="_x0000_s1066" style="position:absolute;margin-left:0;margin-top:13.3pt;width:18pt;height:20.05pt;z-index:251665408" fillcolor="#969696" strokecolor="gray"/>
        </w:pict>
      </w:r>
    </w:p>
    <w:p w:rsidR="00911A8E" w:rsidRPr="00CC0740" w:rsidRDefault="00911A8E" w:rsidP="00911A8E">
      <w:pPr>
        <w:ind w:left="720"/>
        <w:rPr>
          <w:rFonts w:cs="Arial"/>
          <w:sz w:val="28"/>
          <w:szCs w:val="28"/>
        </w:rPr>
      </w:pPr>
      <w:proofErr w:type="gramStart"/>
      <w:r w:rsidRPr="00CC0740">
        <w:rPr>
          <w:rFonts w:cs="Arial"/>
          <w:sz w:val="28"/>
          <w:szCs w:val="28"/>
        </w:rPr>
        <w:t>financial</w:t>
      </w:r>
      <w:proofErr w:type="gramEnd"/>
    </w:p>
    <w:p w:rsidR="00911A8E" w:rsidRPr="00CC0740" w:rsidRDefault="00285A0F" w:rsidP="00911A8E">
      <w:pPr>
        <w:ind w:left="720"/>
        <w:rPr>
          <w:rFonts w:cs="Arial"/>
          <w:sz w:val="28"/>
          <w:szCs w:val="28"/>
        </w:rPr>
      </w:pPr>
      <w:r>
        <w:rPr>
          <w:rFonts w:cs="Arial"/>
          <w:noProof/>
          <w:sz w:val="28"/>
          <w:szCs w:val="28"/>
          <w:lang w:eastAsia="en-GB"/>
        </w:rPr>
        <w:pict>
          <v:rect id="_x0000_s1067" style="position:absolute;left:0;text-align:left;margin-left:0;margin-top:8.1pt;width:18pt;height:20.05pt;z-index:251666432" fillcolor="#969696" strokecolor="gray">
            <v:textbox>
              <w:txbxContent>
                <w:p w:rsidR="00252F8F" w:rsidRDefault="00252F8F"/>
              </w:txbxContent>
            </v:textbox>
          </v:rect>
        </w:pict>
      </w:r>
    </w:p>
    <w:p w:rsidR="00911A8E" w:rsidRPr="00CC0740" w:rsidRDefault="00911A8E" w:rsidP="00911A8E">
      <w:pPr>
        <w:ind w:left="720"/>
        <w:rPr>
          <w:rFonts w:cs="Arial"/>
          <w:sz w:val="28"/>
          <w:szCs w:val="28"/>
        </w:rPr>
      </w:pPr>
      <w:proofErr w:type="gramStart"/>
      <w:r w:rsidRPr="00CC0740">
        <w:rPr>
          <w:rFonts w:cs="Arial"/>
          <w:sz w:val="28"/>
          <w:szCs w:val="28"/>
        </w:rPr>
        <w:t>legislative</w:t>
      </w:r>
      <w:proofErr w:type="gramEnd"/>
    </w:p>
    <w:p w:rsidR="00911A8E" w:rsidRPr="00CC0740" w:rsidRDefault="00285A0F" w:rsidP="00911A8E">
      <w:pPr>
        <w:ind w:left="720"/>
        <w:rPr>
          <w:rFonts w:cs="Arial"/>
          <w:sz w:val="28"/>
          <w:szCs w:val="28"/>
        </w:rPr>
      </w:pPr>
      <w:r>
        <w:rPr>
          <w:rFonts w:cs="Arial"/>
          <w:noProof/>
          <w:sz w:val="28"/>
          <w:szCs w:val="28"/>
          <w:lang w:eastAsia="en-GB"/>
        </w:rPr>
        <w:pict>
          <v:rect id="_x0000_s1068" style="position:absolute;left:0;text-align:left;margin-left:0;margin-top:11.9pt;width:18pt;height:20.05pt;z-index:251667456" fillcolor="#969696" strokecolor="gray"/>
        </w:pict>
      </w:r>
    </w:p>
    <w:p w:rsidR="00911A8E" w:rsidRPr="00CC0740" w:rsidRDefault="00911A8E" w:rsidP="00911A8E">
      <w:pPr>
        <w:ind w:left="720"/>
        <w:rPr>
          <w:rFonts w:cs="Arial"/>
          <w:sz w:val="28"/>
          <w:szCs w:val="28"/>
        </w:rPr>
      </w:pPr>
      <w:proofErr w:type="gramStart"/>
      <w:r w:rsidRPr="00CC0740">
        <w:rPr>
          <w:rFonts w:cs="Arial"/>
          <w:sz w:val="28"/>
          <w:szCs w:val="28"/>
        </w:rPr>
        <w:t>other</w:t>
      </w:r>
      <w:proofErr w:type="gramEnd"/>
      <w:r w:rsidRPr="00CC0740">
        <w:rPr>
          <w:rFonts w:cs="Arial"/>
          <w:sz w:val="28"/>
          <w:szCs w:val="28"/>
        </w:rPr>
        <w:t>,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285A0F" w:rsidP="00911A8E">
      <w:pPr>
        <w:spacing w:before="120"/>
        <w:ind w:left="301"/>
        <w:rPr>
          <w:rFonts w:cs="Arial"/>
          <w:sz w:val="28"/>
          <w:szCs w:val="28"/>
        </w:rPr>
      </w:pPr>
      <w:r>
        <w:rPr>
          <w:rFonts w:cs="Arial"/>
          <w:noProof/>
          <w:sz w:val="28"/>
          <w:szCs w:val="28"/>
          <w:lang w:eastAsia="en-GB"/>
        </w:rPr>
        <w:pict>
          <v:rect id="_x0000_s1061" style="position:absolute;left:0;text-align:left;margin-left:0;margin-top:18.15pt;width:18pt;height:20.05pt;z-index:251660288" fillcolor="#969696" strokecolor="gray">
            <v:textbox>
              <w:txbxContent>
                <w:p w:rsidR="00252F8F" w:rsidRDefault="00252F8F" w:rsidP="00911A8E">
                  <w:proofErr w:type="gramStart"/>
                  <w:r>
                    <w:t>x</w:t>
                  </w:r>
                  <w:proofErr w:type="gramEnd"/>
                </w:p>
              </w:txbxContent>
            </v:textbox>
          </v:rect>
        </w:pict>
      </w:r>
    </w:p>
    <w:p w:rsidR="00911A8E" w:rsidRPr="00CC0740" w:rsidRDefault="00911A8E" w:rsidP="00911A8E">
      <w:pPr>
        <w:ind w:left="720"/>
        <w:rPr>
          <w:rFonts w:cs="Arial"/>
          <w:sz w:val="28"/>
          <w:szCs w:val="28"/>
        </w:rPr>
      </w:pPr>
      <w:proofErr w:type="gramStart"/>
      <w:r w:rsidRPr="00CC0740">
        <w:rPr>
          <w:rFonts w:cs="Arial"/>
          <w:sz w:val="28"/>
          <w:szCs w:val="28"/>
        </w:rPr>
        <w:t>staff</w:t>
      </w:r>
      <w:proofErr w:type="gramEnd"/>
    </w:p>
    <w:p w:rsidR="00911A8E" w:rsidRPr="00CC0740" w:rsidRDefault="00285A0F" w:rsidP="00911A8E">
      <w:pPr>
        <w:ind w:left="720"/>
        <w:rPr>
          <w:rFonts w:cs="Arial"/>
          <w:sz w:val="28"/>
          <w:szCs w:val="28"/>
        </w:rPr>
      </w:pPr>
      <w:r>
        <w:rPr>
          <w:rFonts w:cs="Arial"/>
          <w:noProof/>
          <w:sz w:val="28"/>
          <w:szCs w:val="28"/>
          <w:lang w:eastAsia="en-GB"/>
        </w:rPr>
        <w:pict>
          <v:rect id="_x0000_s1062" style="position:absolute;left:0;text-align:left;margin-left:0;margin-top:15.95pt;width:18pt;height:20.05pt;z-index:251661312" fillcolor="#969696" strokecolor="gray">
            <v:textbox>
              <w:txbxContent>
                <w:p w:rsidR="00252F8F" w:rsidRDefault="00252F8F" w:rsidP="00911A8E"/>
              </w:txbxContent>
            </v:textbox>
          </v:rect>
        </w:pict>
      </w:r>
    </w:p>
    <w:p w:rsidR="00911A8E" w:rsidRPr="00CC0740" w:rsidRDefault="00911A8E" w:rsidP="00911A8E">
      <w:pPr>
        <w:ind w:left="720"/>
        <w:rPr>
          <w:rFonts w:cs="Arial"/>
          <w:sz w:val="28"/>
          <w:szCs w:val="28"/>
        </w:rPr>
      </w:pPr>
      <w:proofErr w:type="gramStart"/>
      <w:r w:rsidRPr="00CC0740">
        <w:rPr>
          <w:rFonts w:cs="Arial"/>
          <w:sz w:val="28"/>
          <w:szCs w:val="28"/>
        </w:rPr>
        <w:t>service</w:t>
      </w:r>
      <w:proofErr w:type="gramEnd"/>
      <w:r w:rsidRPr="00CC0740">
        <w:rPr>
          <w:rFonts w:cs="Arial"/>
          <w:sz w:val="28"/>
          <w:szCs w:val="28"/>
        </w:rPr>
        <w:t xml:space="preserve"> users</w:t>
      </w:r>
    </w:p>
    <w:p w:rsidR="00911A8E" w:rsidRPr="00CC0740" w:rsidRDefault="00911A8E" w:rsidP="00911A8E">
      <w:pPr>
        <w:ind w:left="720"/>
        <w:rPr>
          <w:rFonts w:cs="Arial"/>
          <w:sz w:val="28"/>
          <w:szCs w:val="28"/>
        </w:rPr>
      </w:pPr>
    </w:p>
    <w:p w:rsidR="00911A8E" w:rsidRPr="00CC0740" w:rsidRDefault="00285A0F" w:rsidP="00911A8E">
      <w:pPr>
        <w:ind w:left="720"/>
        <w:rPr>
          <w:rFonts w:cs="Arial"/>
          <w:sz w:val="28"/>
          <w:szCs w:val="28"/>
        </w:rPr>
      </w:pPr>
      <w:r>
        <w:rPr>
          <w:rFonts w:cs="Arial"/>
          <w:noProof/>
          <w:sz w:val="28"/>
          <w:szCs w:val="28"/>
          <w:lang w:eastAsia="en-GB"/>
        </w:rPr>
        <w:pict>
          <v:rect id="_x0000_s1063" style="position:absolute;left:0;text-align:left;margin-left:0;margin-top:.65pt;width:18pt;height:20.05pt;z-index:251662336" fillcolor="#969696" strokecolor="gray">
            <v:textbox>
              <w:txbxContent>
                <w:p w:rsidR="00252F8F" w:rsidRDefault="00252F8F" w:rsidP="00911A8E"/>
              </w:txbxContent>
            </v:textbox>
          </v:rect>
        </w:pict>
      </w:r>
      <w:proofErr w:type="gramStart"/>
      <w:r w:rsidR="00911A8E">
        <w:rPr>
          <w:rFonts w:cs="Arial"/>
          <w:sz w:val="28"/>
          <w:szCs w:val="28"/>
        </w:rPr>
        <w:t>other</w:t>
      </w:r>
      <w:proofErr w:type="gramEnd"/>
      <w:r w:rsidR="00911A8E" w:rsidRPr="00CC0740">
        <w:rPr>
          <w:rFonts w:cs="Arial"/>
          <w:sz w:val="28"/>
          <w:szCs w:val="28"/>
        </w:rPr>
        <w:t xml:space="preserve"> public sector organisations</w:t>
      </w:r>
    </w:p>
    <w:p w:rsidR="00911A8E" w:rsidRPr="00CC0740" w:rsidRDefault="00285A0F" w:rsidP="00911A8E">
      <w:pPr>
        <w:ind w:left="720"/>
        <w:rPr>
          <w:rFonts w:cs="Arial"/>
          <w:sz w:val="28"/>
          <w:szCs w:val="28"/>
        </w:rPr>
      </w:pPr>
      <w:r>
        <w:rPr>
          <w:rFonts w:cs="Arial"/>
          <w:noProof/>
          <w:sz w:val="28"/>
          <w:szCs w:val="28"/>
          <w:lang w:eastAsia="en-GB"/>
        </w:rPr>
        <w:pict>
          <v:rect id="_x0000_s1064" style="position:absolute;left:0;text-align:left;margin-left:0;margin-top:11.55pt;width:18pt;height:20.05pt;z-index:251663360" fillcolor="#969696" strokecolor="gray"/>
        </w:pict>
      </w:r>
    </w:p>
    <w:p w:rsidR="00911A8E" w:rsidRPr="00CC0740" w:rsidRDefault="00911A8E" w:rsidP="00911A8E">
      <w:pPr>
        <w:ind w:left="720"/>
        <w:rPr>
          <w:rFonts w:cs="Arial"/>
          <w:sz w:val="28"/>
          <w:szCs w:val="28"/>
        </w:rPr>
      </w:pPr>
      <w:proofErr w:type="gramStart"/>
      <w:r>
        <w:rPr>
          <w:rFonts w:cs="Arial"/>
          <w:sz w:val="28"/>
          <w:szCs w:val="28"/>
        </w:rPr>
        <w:t>voluntary/community/trade</w:t>
      </w:r>
      <w:proofErr w:type="gramEnd"/>
      <w:r>
        <w:rPr>
          <w:rFonts w:cs="Arial"/>
          <w:sz w:val="28"/>
          <w:szCs w:val="28"/>
        </w:rPr>
        <w:t xml:space="preserve"> unions</w:t>
      </w:r>
    </w:p>
    <w:p w:rsidR="00911A8E" w:rsidRPr="00CC0740" w:rsidRDefault="00285A0F" w:rsidP="00911A8E">
      <w:pPr>
        <w:ind w:left="720"/>
        <w:rPr>
          <w:rFonts w:cs="Arial"/>
          <w:sz w:val="28"/>
          <w:szCs w:val="28"/>
        </w:rPr>
      </w:pPr>
      <w:r>
        <w:rPr>
          <w:rFonts w:cs="Arial"/>
          <w:noProof/>
          <w:sz w:val="28"/>
          <w:szCs w:val="28"/>
          <w:lang w:eastAsia="en-GB"/>
        </w:rPr>
        <w:pict>
          <v:rect id="_x0000_s1065" style="position:absolute;left:0;text-align:left;margin-left:0;margin-top:9.35pt;width:18pt;height:20.05pt;z-index:251664384" fillcolor="#969696" strokecolor="gray">
            <v:textbox>
              <w:txbxContent>
                <w:p w:rsidR="00252F8F" w:rsidRDefault="00252F8F">
                  <w:proofErr w:type="gramStart"/>
                  <w:r>
                    <w:t>x</w:t>
                  </w:r>
                  <w:proofErr w:type="gramEnd"/>
                </w:p>
              </w:txbxContent>
            </v:textbox>
          </v:rect>
        </w:pict>
      </w:r>
    </w:p>
    <w:p w:rsidR="00911A8E" w:rsidRDefault="00911A8E" w:rsidP="00911A8E">
      <w:pPr>
        <w:ind w:left="720"/>
        <w:rPr>
          <w:rFonts w:cs="Arial"/>
          <w:sz w:val="28"/>
          <w:szCs w:val="28"/>
        </w:rPr>
      </w:pPr>
      <w:proofErr w:type="gramStart"/>
      <w:r>
        <w:rPr>
          <w:rFonts w:cs="Arial"/>
          <w:sz w:val="28"/>
          <w:szCs w:val="28"/>
        </w:rPr>
        <w:t>o</w:t>
      </w:r>
      <w:r w:rsidRPr="00CC0740">
        <w:rPr>
          <w:rFonts w:cs="Arial"/>
          <w:sz w:val="28"/>
          <w:szCs w:val="28"/>
        </w:rPr>
        <w:t>ther</w:t>
      </w:r>
      <w:proofErr w:type="gramEnd"/>
      <w:r w:rsidRPr="00CC0740">
        <w:rPr>
          <w:rFonts w:cs="Arial"/>
          <w:sz w:val="28"/>
          <w:szCs w:val="28"/>
        </w:rPr>
        <w:t>, please specify</w:t>
      </w:r>
      <w:r>
        <w:rPr>
          <w:rFonts w:cs="Arial"/>
          <w:sz w:val="28"/>
          <w:szCs w:val="28"/>
        </w:rPr>
        <w:t xml:space="preserve"> </w:t>
      </w:r>
      <w:r w:rsidR="00903349">
        <w:rPr>
          <w:rFonts w:cs="Arial"/>
          <w:sz w:val="28"/>
          <w:szCs w:val="28"/>
        </w:rPr>
        <w:t xml:space="preserve">: Public job seekers </w:t>
      </w:r>
      <w:r>
        <w:rPr>
          <w:rFonts w:cs="Arial"/>
          <w:sz w:val="28"/>
          <w:szCs w:val="28"/>
        </w:rPr>
        <w:t>________</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285A0F"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proofErr w:type="gramStart"/>
      <w:r>
        <w:rPr>
          <w:rFonts w:cs="Arial"/>
          <w:bCs/>
          <w:sz w:val="28"/>
          <w:szCs w:val="28"/>
        </w:rPr>
        <w:t>wh</w:t>
      </w:r>
      <w:r w:rsidRPr="00FA0121">
        <w:rPr>
          <w:rFonts w:cs="Arial"/>
          <w:bCs/>
          <w:sz w:val="28"/>
          <w:szCs w:val="28"/>
        </w:rPr>
        <w:t>at</w:t>
      </w:r>
      <w:proofErr w:type="gramEnd"/>
      <w:r w:rsidRPr="00FA0121">
        <w:rPr>
          <w:rFonts w:cs="Arial"/>
          <w:bCs/>
          <w:sz w:val="28"/>
          <w:szCs w:val="28"/>
        </w:rPr>
        <w:t xml:space="preserve"> are they?</w:t>
      </w:r>
      <w:r>
        <w:rPr>
          <w:rFonts w:cs="Arial"/>
          <w:bCs/>
          <w:sz w:val="28"/>
          <w:szCs w:val="28"/>
        </w:rPr>
        <w:t xml:space="preserve"> All internal policies and procedures.</w:t>
      </w:r>
    </w:p>
    <w:p w:rsidR="00911A8E" w:rsidRPr="00FA0121" w:rsidRDefault="00911A8E" w:rsidP="00911A8E">
      <w:pPr>
        <w:spacing w:line="240" w:lineRule="atLeast"/>
        <w:ind w:hanging="180"/>
        <w:rPr>
          <w:rFonts w:cs="Arial"/>
          <w:bCs/>
          <w:sz w:val="28"/>
          <w:szCs w:val="28"/>
        </w:rPr>
      </w:pPr>
    </w:p>
    <w:p w:rsidR="00911A8E" w:rsidRDefault="004417B2" w:rsidP="00911A8E">
      <w:pPr>
        <w:spacing w:line="240" w:lineRule="atLeast"/>
        <w:ind w:hanging="180"/>
        <w:rPr>
          <w:rFonts w:cs="Arial"/>
          <w:bCs/>
          <w:sz w:val="28"/>
          <w:szCs w:val="28"/>
        </w:rPr>
      </w:pPr>
      <w:r>
        <w:rPr>
          <w:rFonts w:cs="Arial"/>
          <w:bCs/>
          <w:sz w:val="28"/>
          <w:szCs w:val="28"/>
        </w:rPr>
        <w:t xml:space="preserve">Equal Opportunities Policy </w:t>
      </w:r>
    </w:p>
    <w:p w:rsidR="004417B2" w:rsidRDefault="004417B2" w:rsidP="00911A8E">
      <w:pPr>
        <w:spacing w:line="240" w:lineRule="atLeast"/>
        <w:ind w:hanging="180"/>
        <w:rPr>
          <w:rFonts w:cs="Arial"/>
          <w:bCs/>
          <w:sz w:val="28"/>
          <w:szCs w:val="28"/>
        </w:rPr>
      </w:pPr>
      <w:r>
        <w:rPr>
          <w:rFonts w:cs="Arial"/>
          <w:bCs/>
          <w:sz w:val="28"/>
          <w:szCs w:val="28"/>
        </w:rPr>
        <w:t xml:space="preserve">Article 2 </w:t>
      </w:r>
    </w:p>
    <w:p w:rsidR="00911A8E" w:rsidRPr="00FA0121" w:rsidRDefault="00911A8E" w:rsidP="00911A8E">
      <w:pPr>
        <w:spacing w:line="240" w:lineRule="atLeast"/>
        <w:ind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proofErr w:type="gramStart"/>
      <w:r w:rsidRPr="00FA0121">
        <w:rPr>
          <w:rFonts w:cs="Arial"/>
          <w:bCs/>
          <w:sz w:val="28"/>
          <w:szCs w:val="28"/>
        </w:rPr>
        <w:t>who</w:t>
      </w:r>
      <w:proofErr w:type="gramEnd"/>
      <w:r w:rsidRPr="00FA0121">
        <w:rPr>
          <w:rFonts w:cs="Arial"/>
          <w:bCs/>
          <w:sz w:val="28"/>
          <w:szCs w:val="28"/>
        </w:rPr>
        <w:t xml:space="preserve"> owns them?</w:t>
      </w:r>
      <w:r w:rsidR="00903349">
        <w:rPr>
          <w:rFonts w:cs="Arial"/>
          <w:bCs/>
          <w:sz w:val="28"/>
          <w:szCs w:val="28"/>
        </w:rPr>
        <w:t xml:space="preserve"> </w:t>
      </w:r>
    </w:p>
    <w:p w:rsidR="00911A8E" w:rsidRDefault="00911A8E" w:rsidP="00911A8E">
      <w:pPr>
        <w:rPr>
          <w:rFonts w:cs="Arial"/>
          <w:sz w:val="28"/>
          <w:szCs w:val="28"/>
        </w:rPr>
      </w:pPr>
    </w:p>
    <w:p w:rsidR="00911A8E" w:rsidRDefault="004417B2" w:rsidP="00911A8E">
      <w:pPr>
        <w:rPr>
          <w:rFonts w:cs="Arial"/>
          <w:sz w:val="28"/>
          <w:szCs w:val="28"/>
        </w:rPr>
      </w:pPr>
      <w:r>
        <w:rPr>
          <w:rFonts w:cs="Arial"/>
          <w:sz w:val="28"/>
          <w:szCs w:val="28"/>
        </w:rPr>
        <w:t>EOP: HR Manager</w:t>
      </w:r>
    </w:p>
    <w:p w:rsidR="004417B2" w:rsidRDefault="004417B2" w:rsidP="00911A8E">
      <w:pPr>
        <w:rPr>
          <w:rFonts w:cs="Arial"/>
          <w:sz w:val="28"/>
          <w:szCs w:val="28"/>
        </w:rPr>
      </w:pPr>
      <w:r>
        <w:rPr>
          <w:rFonts w:cs="Arial"/>
          <w:sz w:val="28"/>
          <w:szCs w:val="28"/>
        </w:rPr>
        <w:t>Article 2: Chief Executive</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Staff in post as at 1 January 2016 (Source Fair Employment Monitoring Report):</w:t>
            </w:r>
          </w:p>
          <w:p w:rsidR="00AC4776" w:rsidRDefault="00AC4776" w:rsidP="00AC4776">
            <w:pPr>
              <w:rPr>
                <w:rFonts w:cs="Arial"/>
              </w:rPr>
            </w:pPr>
            <w:r>
              <w:rPr>
                <w:rFonts w:cs="Arial"/>
              </w:rPr>
              <w:t>50.7% Protestant Background</w:t>
            </w:r>
          </w:p>
          <w:p w:rsidR="00AC4776" w:rsidRDefault="00AC4776" w:rsidP="00AC4776">
            <w:pPr>
              <w:rPr>
                <w:rFonts w:cs="Arial"/>
              </w:rPr>
            </w:pPr>
          </w:p>
          <w:p w:rsidR="00AC4776" w:rsidRDefault="00AC4776" w:rsidP="00AC4776">
            <w:pPr>
              <w:rPr>
                <w:rFonts w:cs="Arial"/>
              </w:rPr>
            </w:pPr>
            <w:r>
              <w:rPr>
                <w:rFonts w:cs="Arial"/>
              </w:rPr>
              <w:t>37.7% Roman Catholic Background</w:t>
            </w:r>
          </w:p>
          <w:p w:rsidR="00911A8E" w:rsidRPr="00556E21" w:rsidRDefault="00AC4776" w:rsidP="00AC4776">
            <w:pPr>
              <w:spacing w:before="240" w:after="240"/>
              <w:rPr>
                <w:rFonts w:cs="Arial"/>
                <w:szCs w:val="24"/>
              </w:rPr>
            </w:pPr>
            <w:r>
              <w:rPr>
                <w:rFonts w:cs="Arial"/>
              </w:rPr>
              <w:t>11.6%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Staff in post as at 1 January 2016 (Source Fair Employment Monitoring Report):</w:t>
            </w:r>
          </w:p>
          <w:p w:rsidR="00911A8E" w:rsidRDefault="00AC4776" w:rsidP="00903349">
            <w:pPr>
              <w:spacing w:before="240" w:after="240"/>
              <w:rPr>
                <w:rFonts w:cs="Arial"/>
                <w:szCs w:val="24"/>
              </w:rPr>
            </w:pPr>
            <w:r>
              <w:rPr>
                <w:rFonts w:cs="Arial"/>
                <w:szCs w:val="24"/>
              </w:rPr>
              <w:t xml:space="preserve">47.8 % Female </w:t>
            </w:r>
          </w:p>
          <w:p w:rsidR="00AC4776" w:rsidRDefault="00AC4776" w:rsidP="00903349">
            <w:pPr>
              <w:spacing w:before="240" w:after="240"/>
              <w:rPr>
                <w:rFonts w:cs="Arial"/>
                <w:szCs w:val="24"/>
              </w:rPr>
            </w:pPr>
            <w:r>
              <w:rPr>
                <w:rFonts w:cs="Arial"/>
                <w:szCs w:val="24"/>
              </w:rPr>
              <w:t>52.2% Male</w:t>
            </w:r>
          </w:p>
          <w:p w:rsidR="005F7521" w:rsidRDefault="005F7521" w:rsidP="00903349">
            <w:pPr>
              <w:spacing w:before="240" w:after="240"/>
              <w:rPr>
                <w:rFonts w:cs="Arial"/>
                <w:szCs w:val="24"/>
              </w:rPr>
            </w:pPr>
            <w:r>
              <w:rPr>
                <w:rFonts w:cs="Arial"/>
                <w:szCs w:val="24"/>
              </w:rPr>
              <w:t>Females under represented at Senior Management Level.</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5B506E" w:rsidP="00903349">
            <w:pPr>
              <w:spacing w:before="240" w:after="240"/>
              <w:rPr>
                <w:rFonts w:cs="Arial"/>
                <w:b/>
                <w:sz w:val="28"/>
                <w:szCs w:val="28"/>
              </w:rPr>
            </w:pPr>
            <w:r>
              <w:rPr>
                <w:rFonts w:cs="Arial"/>
                <w:szCs w:val="24"/>
              </w:rPr>
              <w:t xml:space="preserve">Women may have a greater need for flexible working options in order to meet their caring responsibilities.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5B506E" w:rsidP="00903349">
            <w:pPr>
              <w:spacing w:before="240" w:after="240"/>
              <w:rPr>
                <w:rFonts w:cs="Arial"/>
                <w:szCs w:val="24"/>
              </w:rPr>
            </w:pPr>
            <w:r>
              <w:rPr>
                <w:rFonts w:cs="Arial"/>
                <w:szCs w:val="24"/>
              </w:rPr>
              <w:t xml:space="preserve">Support with access to employment is important for this group. The reasonable adjustment duty will apply.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5B506E" w:rsidP="00903349">
            <w:pPr>
              <w:spacing w:before="240" w:after="240"/>
              <w:rPr>
                <w:rFonts w:cs="Arial"/>
                <w:b/>
                <w:sz w:val="28"/>
                <w:szCs w:val="28"/>
              </w:rPr>
            </w:pPr>
            <w:r>
              <w:rPr>
                <w:rFonts w:cs="Arial"/>
                <w:szCs w:val="24"/>
              </w:rPr>
              <w:t>Persons with dependents may have a greater need for flexible working options in order to meet their caring responsibilities.</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proofErr w:type="gramStart"/>
      <w:r>
        <w:rPr>
          <w:rFonts w:cs="Arial"/>
          <w:b/>
          <w:sz w:val="28"/>
          <w:szCs w:val="28"/>
        </w:rPr>
        <w:t>Part</w:t>
      </w:r>
      <w:r w:rsidRPr="007D1056">
        <w:rPr>
          <w:rFonts w:cs="Arial"/>
          <w:b/>
          <w:sz w:val="28"/>
          <w:szCs w:val="28"/>
        </w:rPr>
        <w:t xml:space="preserve"> 2</w:t>
      </w:r>
      <w:r>
        <w:rPr>
          <w:rFonts w:cs="Arial"/>
          <w:b/>
          <w:sz w:val="28"/>
          <w:szCs w:val="28"/>
        </w:rPr>
        <w:t>.</w:t>
      </w:r>
      <w:proofErr w:type="gramEnd"/>
      <w:r>
        <w:rPr>
          <w:rFonts w:cs="Arial"/>
          <w:b/>
          <w:sz w:val="28"/>
          <w:szCs w:val="28"/>
        </w:rPr>
        <w:t xml:space="preserve">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proofErr w:type="gramStart"/>
      <w:r w:rsidRPr="00B81381">
        <w:rPr>
          <w:rFonts w:cs="Arial"/>
          <w:sz w:val="28"/>
          <w:szCs w:val="28"/>
        </w:rPr>
        <w:t>the</w:t>
      </w:r>
      <w:proofErr w:type="gramEnd"/>
      <w:r w:rsidRPr="00B81381">
        <w:rPr>
          <w:rFonts w:cs="Arial"/>
          <w:sz w:val="28"/>
          <w:szCs w:val="28"/>
        </w:rPr>
        <w:t xml:space="preserv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All applicants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It is not anticipated that the policy will impact on equality of opportunity in this category. All applicants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It is not anticipated that the policy will impact on equality of opportunity in this category. All applicants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It is not anticipated that the policy will impact on equality of opportunity in this category. All applicants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It is not anticipated that the policy will impact on equality of opportunity in this category. All applicants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It is not anticipated that the policy will impact on equality of opportunity in this category. All applicants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It is not anticipated that the policy will impact on equality of opportunity in this category. All applicants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It is not anticipated that the policy will impact on equality of opportunity in this category. All applicants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lastRenderedPageBreak/>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It is not anticipated that the policy will impact on equality of opportunity in this category. All applicants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5B506E" w:rsidP="00903349">
            <w:r>
              <w:t>Flexible working options will be explored within the policy.</w:t>
            </w:r>
          </w:p>
        </w:tc>
        <w:tc>
          <w:tcPr>
            <w:tcW w:w="3420" w:type="dxa"/>
            <w:tcBorders>
              <w:top w:val="single" w:sz="4" w:space="0" w:color="auto"/>
              <w:left w:val="single" w:sz="4" w:space="0" w:color="auto"/>
              <w:bottom w:val="single" w:sz="4" w:space="0" w:color="auto"/>
              <w:right w:val="single" w:sz="4" w:space="0" w:color="auto"/>
            </w:tcBorders>
          </w:tcPr>
          <w:p w:rsidR="00083C2B" w:rsidRDefault="00083C2B"/>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923994" w:rsidP="00903349">
            <w:r>
              <w:t xml:space="preserve">The Policy provides for </w:t>
            </w:r>
            <w:proofErr w:type="gramStart"/>
            <w:r>
              <w:t>an</w:t>
            </w:r>
            <w:proofErr w:type="gramEnd"/>
            <w:r>
              <w:t xml:space="preserve"> guaranteed interview for applicants with a disability who meet the essential criteria. </w:t>
            </w:r>
          </w:p>
        </w:tc>
        <w:tc>
          <w:tcPr>
            <w:tcW w:w="3420" w:type="dxa"/>
            <w:tcBorders>
              <w:top w:val="single" w:sz="4" w:space="0" w:color="auto"/>
              <w:left w:val="single" w:sz="4" w:space="0" w:color="auto"/>
              <w:bottom w:val="single" w:sz="4" w:space="0" w:color="auto"/>
              <w:right w:val="single" w:sz="4" w:space="0" w:color="auto"/>
            </w:tcBorders>
          </w:tcPr>
          <w:p w:rsidR="00083C2B" w:rsidRDefault="00083C2B"/>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 </w:t>
            </w:r>
            <w:r>
              <w:rPr>
                <w:rFonts w:cs="Arial"/>
                <w:sz w:val="28"/>
                <w:szCs w:val="28"/>
              </w:rPr>
              <w:lastRenderedPageBreak/>
              <w:t>Dependants</w:t>
            </w:r>
          </w:p>
        </w:tc>
        <w:tc>
          <w:tcPr>
            <w:tcW w:w="4140" w:type="dxa"/>
            <w:tcBorders>
              <w:top w:val="single" w:sz="4" w:space="0" w:color="auto"/>
              <w:left w:val="single" w:sz="4" w:space="0" w:color="auto"/>
              <w:bottom w:val="single" w:sz="4" w:space="0" w:color="auto"/>
              <w:right w:val="single" w:sz="4" w:space="0" w:color="auto"/>
            </w:tcBorders>
          </w:tcPr>
          <w:p w:rsidR="00083C2B" w:rsidRDefault="005B506E" w:rsidP="00903349">
            <w:r>
              <w:lastRenderedPageBreak/>
              <w:t>Flexible working options will be explored within the policy.</w:t>
            </w:r>
          </w:p>
        </w:tc>
        <w:tc>
          <w:tcPr>
            <w:tcW w:w="3420" w:type="dxa"/>
            <w:tcBorders>
              <w:top w:val="single" w:sz="4" w:space="0" w:color="auto"/>
              <w:left w:val="single" w:sz="4" w:space="0" w:color="auto"/>
              <w:bottom w:val="single" w:sz="4" w:space="0" w:color="auto"/>
              <w:right w:val="single" w:sz="4" w:space="0" w:color="auto"/>
            </w:tcBorders>
          </w:tcPr>
          <w:p w:rsidR="00083C2B" w:rsidRDefault="00083C2B"/>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 xml:space="preserve">Multiple </w:t>
      </w:r>
      <w:proofErr w:type="gramStart"/>
      <w:r>
        <w:rPr>
          <w:rFonts w:cs="Arial"/>
          <w:b/>
          <w:sz w:val="28"/>
          <w:szCs w:val="28"/>
        </w:rPr>
        <w:t>i</w:t>
      </w:r>
      <w:r w:rsidRPr="00F36F5D">
        <w:rPr>
          <w:rFonts w:cs="Arial"/>
          <w:b/>
          <w:sz w:val="28"/>
          <w:szCs w:val="28"/>
        </w:rPr>
        <w:t>dentity</w:t>
      </w:r>
      <w:proofErr w:type="gramEnd"/>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proofErr w:type="gramStart"/>
      <w:r>
        <w:rPr>
          <w:rFonts w:cs="Arial"/>
          <w:sz w:val="28"/>
          <w:szCs w:val="28"/>
        </w:rPr>
        <w:t>(</w:t>
      </w:r>
      <w:r w:rsidRPr="00F36F5D">
        <w:rPr>
          <w:rFonts w:cs="Arial"/>
          <w:i/>
          <w:sz w:val="28"/>
          <w:szCs w:val="28"/>
        </w:rPr>
        <w:t>For example; disabled minority ethnic people; disabled women; young Protestant men; and young lesbians, gay and bisexual people).</w:t>
      </w:r>
      <w:proofErr w:type="gramEnd"/>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proofErr w:type="gramStart"/>
      <w:r>
        <w:rPr>
          <w:rFonts w:cs="Arial"/>
          <w:b/>
          <w:sz w:val="28"/>
          <w:szCs w:val="28"/>
        </w:rPr>
        <w:lastRenderedPageBreak/>
        <w:t>Part 3.</w:t>
      </w:r>
      <w:proofErr w:type="gramEnd"/>
      <w:r>
        <w:rPr>
          <w:rFonts w:cs="Arial"/>
          <w:b/>
          <w:sz w:val="28"/>
          <w:szCs w:val="28"/>
        </w:rPr>
        <w:t xml:space="preserve">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923994">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The policy is by its very nature designed to be a positive step to </w:t>
            </w:r>
            <w:r w:rsidR="005B506E">
              <w:rPr>
                <w:rFonts w:cs="Arial"/>
                <w:szCs w:val="24"/>
              </w:rPr>
              <w:t xml:space="preserve">ensure a fair and </w:t>
            </w:r>
            <w:r w:rsidR="00923994">
              <w:rPr>
                <w:rFonts w:cs="Arial"/>
                <w:szCs w:val="24"/>
              </w:rPr>
              <w:t>consistent approach to recruitment and selection.</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proofErr w:type="gramStart"/>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roofErr w:type="gramEnd"/>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proofErr w:type="gramStart"/>
      <w:r>
        <w:rPr>
          <w:rFonts w:cs="Arial"/>
          <w:b/>
          <w:sz w:val="28"/>
          <w:szCs w:val="28"/>
        </w:rPr>
        <w:lastRenderedPageBreak/>
        <w:t>Part 4.</w:t>
      </w:r>
      <w:proofErr w:type="gramEnd"/>
      <w:r>
        <w:rPr>
          <w:rFonts w:cs="Arial"/>
          <w:b/>
          <w:sz w:val="28"/>
          <w:szCs w:val="28"/>
        </w:rPr>
        <w:t xml:space="preserve">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w:t>
      </w:r>
      <w:proofErr w:type="spellStart"/>
      <w:r w:rsidRPr="001C7651">
        <w:rPr>
          <w:rFonts w:cs="Arial"/>
          <w:sz w:val="28"/>
          <w:szCs w:val="28"/>
        </w:rPr>
        <w:t>paras</w:t>
      </w:r>
      <w:proofErr w:type="spellEnd"/>
      <w:r w:rsidRPr="001C7651">
        <w:rPr>
          <w:rFonts w:cs="Arial"/>
          <w:sz w:val="28"/>
          <w:szCs w:val="28"/>
        </w:rPr>
        <w:t xml:space="preserve">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438"/>
        <w:gridCol w:w="1560"/>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AB1B4A" w:rsidP="00903349">
            <w:pPr>
              <w:spacing w:before="120" w:after="120"/>
              <w:rPr>
                <w:rFonts w:cs="Arial"/>
                <w:sz w:val="28"/>
                <w:szCs w:val="28"/>
              </w:rPr>
            </w:pPr>
            <w:r>
              <w:rPr>
                <w:rFonts w:cs="Arial"/>
                <w:sz w:val="28"/>
                <w:szCs w:val="28"/>
              </w:rPr>
              <w:t>David Moorehead</w:t>
            </w:r>
          </w:p>
          <w:p w:rsidR="00911A8E" w:rsidRDefault="00911A8E" w:rsidP="00903349">
            <w:pPr>
              <w:spacing w:before="120" w:after="120"/>
              <w:rPr>
                <w:rFonts w:cs="Arial"/>
                <w:sz w:val="28"/>
                <w:szCs w:val="28"/>
              </w:rPr>
            </w:pPr>
          </w:p>
          <w:p w:rsidR="00911A8E" w:rsidRDefault="00911A8E" w:rsidP="00903349">
            <w:pPr>
              <w:spacing w:before="120" w:after="120"/>
              <w:rPr>
                <w:rFonts w:cs="Arial"/>
                <w:sz w:val="28"/>
                <w:szCs w:val="28"/>
              </w:rPr>
            </w:pP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923994" w:rsidP="00315C2A">
            <w:pPr>
              <w:spacing w:before="120" w:after="120"/>
              <w:rPr>
                <w:rFonts w:cs="Arial"/>
                <w:sz w:val="28"/>
                <w:szCs w:val="28"/>
              </w:rPr>
            </w:pPr>
            <w:r>
              <w:rPr>
                <w:rFonts w:cs="Arial"/>
                <w:sz w:val="28"/>
                <w:szCs w:val="28"/>
              </w:rPr>
              <w:t>14</w:t>
            </w:r>
            <w:r w:rsidR="00911A8E">
              <w:rPr>
                <w:rFonts w:cs="Arial"/>
                <w:sz w:val="28"/>
                <w:szCs w:val="28"/>
              </w:rPr>
              <w:t>/</w:t>
            </w:r>
            <w:r>
              <w:rPr>
                <w:rFonts w:cs="Arial"/>
                <w:sz w:val="28"/>
                <w:szCs w:val="28"/>
              </w:rPr>
              <w:t>04</w:t>
            </w:r>
            <w:r w:rsidR="00911A8E">
              <w:rPr>
                <w:rFonts w:cs="Arial"/>
                <w:sz w:val="28"/>
                <w:szCs w:val="28"/>
              </w:rPr>
              <w:t>/1</w:t>
            </w:r>
            <w:r>
              <w:rPr>
                <w:rFonts w:cs="Arial"/>
                <w:sz w:val="28"/>
                <w:szCs w:val="28"/>
              </w:rPr>
              <w:t>7</w:t>
            </w:r>
          </w:p>
        </w:tc>
      </w:tr>
      <w:tr w:rsidR="00911A8E" w:rsidTr="00903349">
        <w:tc>
          <w:tcPr>
            <w:tcW w:w="4608" w:type="dxa"/>
          </w:tcPr>
          <w:p w:rsidR="00911A8E" w:rsidRPr="006A5F6A" w:rsidRDefault="00911A8E" w:rsidP="00903349">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r w:rsidR="00AB1B4A" w:rsidRPr="00AB1B4A">
              <w:rPr>
                <w:rFonts w:cs="Arial"/>
                <w:sz w:val="28"/>
                <w:szCs w:val="28"/>
              </w:rPr>
              <w:t>Olwen Laird</w:t>
            </w:r>
          </w:p>
        </w:tc>
        <w:tc>
          <w:tcPr>
            <w:tcW w:w="3438" w:type="dxa"/>
          </w:tcPr>
          <w:p w:rsidR="00911A8E" w:rsidRDefault="00AB1B4A" w:rsidP="00903349">
            <w:pPr>
              <w:spacing w:before="120" w:after="120"/>
              <w:rPr>
                <w:rFonts w:cs="Arial"/>
                <w:sz w:val="28"/>
                <w:szCs w:val="28"/>
              </w:rPr>
            </w:pPr>
            <w:r>
              <w:rPr>
                <w:rFonts w:cs="Arial"/>
                <w:sz w:val="28"/>
                <w:szCs w:val="28"/>
              </w:rPr>
              <w:t>Director of Corporate Services</w:t>
            </w:r>
          </w:p>
        </w:tc>
        <w:tc>
          <w:tcPr>
            <w:tcW w:w="1560" w:type="dxa"/>
          </w:tcPr>
          <w:p w:rsidR="00911A8E" w:rsidRDefault="00923994" w:rsidP="00315C2A">
            <w:pPr>
              <w:spacing w:before="120" w:after="120"/>
              <w:rPr>
                <w:rFonts w:cs="Arial"/>
                <w:sz w:val="28"/>
                <w:szCs w:val="28"/>
              </w:rPr>
            </w:pPr>
            <w:r>
              <w:rPr>
                <w:rFonts w:cs="Arial"/>
                <w:sz w:val="28"/>
                <w:szCs w:val="28"/>
              </w:rPr>
              <w:t>14</w:t>
            </w:r>
            <w:r w:rsidR="00AB1B4A">
              <w:rPr>
                <w:rFonts w:cs="Arial"/>
                <w:sz w:val="28"/>
                <w:szCs w:val="28"/>
              </w:rPr>
              <w:t>/</w:t>
            </w:r>
            <w:r>
              <w:rPr>
                <w:rFonts w:cs="Arial"/>
                <w:sz w:val="28"/>
                <w:szCs w:val="28"/>
              </w:rPr>
              <w:t>04</w:t>
            </w:r>
            <w:r w:rsidR="00AB1B4A">
              <w:rPr>
                <w:rFonts w:cs="Arial"/>
                <w:sz w:val="28"/>
                <w:szCs w:val="28"/>
              </w:rPr>
              <w:t>/1</w:t>
            </w:r>
            <w:r>
              <w:rPr>
                <w:rFonts w:cs="Arial"/>
                <w:sz w:val="28"/>
                <w:szCs w:val="28"/>
              </w:rPr>
              <w:t>7</w:t>
            </w:r>
          </w:p>
        </w:tc>
      </w:tr>
      <w:tr w:rsidR="00911A8E" w:rsidTr="00903349">
        <w:tc>
          <w:tcPr>
            <w:tcW w:w="4608" w:type="dxa"/>
          </w:tcPr>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p>
        </w:tc>
        <w:tc>
          <w:tcPr>
            <w:tcW w:w="1560" w:type="dxa"/>
          </w:tcPr>
          <w:p w:rsidR="00911A8E" w:rsidRDefault="00911A8E" w:rsidP="00903349">
            <w:pPr>
              <w:spacing w:before="120" w:after="120"/>
              <w:rPr>
                <w:rFonts w:cs="Arial"/>
                <w:sz w:val="28"/>
                <w:szCs w:val="28"/>
              </w:rPr>
            </w:pP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A8E"/>
    <w:rsid w:val="00083C2B"/>
    <w:rsid w:val="00226ABB"/>
    <w:rsid w:val="00252F8F"/>
    <w:rsid w:val="00285A0F"/>
    <w:rsid w:val="00315C2A"/>
    <w:rsid w:val="00380BA5"/>
    <w:rsid w:val="004417B2"/>
    <w:rsid w:val="005B506E"/>
    <w:rsid w:val="005F7521"/>
    <w:rsid w:val="0076411D"/>
    <w:rsid w:val="00903349"/>
    <w:rsid w:val="00911A8E"/>
    <w:rsid w:val="00923994"/>
    <w:rsid w:val="00972F79"/>
    <w:rsid w:val="00975533"/>
    <w:rsid w:val="00AB1B4A"/>
    <w:rsid w:val="00AC4776"/>
    <w:rsid w:val="00E20261"/>
    <w:rsid w:val="00FB3F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mooreheadd</cp:lastModifiedBy>
  <cp:revision>5</cp:revision>
  <dcterms:created xsi:type="dcterms:W3CDTF">2017-04-05T16:06:00Z</dcterms:created>
  <dcterms:modified xsi:type="dcterms:W3CDTF">2017-05-02T09:04:00Z</dcterms:modified>
</cp:coreProperties>
</file>