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9C" w:rsidRPr="001E0DA6" w:rsidRDefault="00367EB3" w:rsidP="00E31179">
      <w:pPr>
        <w:spacing w:before="120" w:after="120" w:line="480" w:lineRule="auto"/>
        <w:jc w:val="center"/>
        <w:rPr>
          <w:rFonts w:cs="Arial"/>
          <w:b/>
          <w:i/>
          <w:sz w:val="32"/>
          <w:szCs w:val="32"/>
        </w:rPr>
      </w:pPr>
      <w:bookmarkStart w:id="0" w:name="_GoBack"/>
      <w:bookmarkEnd w:id="0"/>
      <w:r>
        <w:rPr>
          <w:rFonts w:cs="Arial"/>
          <w:b/>
          <w:i/>
          <w:sz w:val="32"/>
          <w:szCs w:val="32"/>
        </w:rPr>
        <w:t>Office of the Police Ombudsman for Northern Ireland</w:t>
      </w:r>
      <w:r w:rsidR="00EC3840"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EC3840" w:rsidRPr="001E0DA6">
        <w:rPr>
          <w:rFonts w:cs="Arial"/>
          <w:b/>
          <w:i/>
          <w:sz w:val="32"/>
          <w:szCs w:val="32"/>
        </w:rPr>
        <w:fldChar w:fldCharType="separate"/>
      </w:r>
      <w:bookmarkStart w:id="1" w:name="Text2"/>
      <w:r w:rsidR="00B4168D" w:rsidRPr="001E0DA6">
        <w:rPr>
          <w:rFonts w:cs="Arial"/>
          <w:b/>
          <w:i/>
          <w:sz w:val="32"/>
          <w:szCs w:val="32"/>
        </w:rPr>
        <w:t>Acme Company</w:t>
      </w:r>
      <w:bookmarkEnd w:id="1"/>
      <w:r w:rsidR="00EC3840" w:rsidRPr="001E0DA6">
        <w:rPr>
          <w:rFonts w:cs="Arial"/>
          <w:b/>
          <w:i/>
          <w:sz w:val="32"/>
          <w:szCs w:val="32"/>
        </w:rPr>
        <w:fldChar w:fldCharType="end"/>
      </w:r>
      <w:r w:rsidR="00EC3840"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EC3840" w:rsidRPr="001E0DA6">
        <w:rPr>
          <w:rFonts w:cs="Arial"/>
          <w:b/>
          <w:i/>
          <w:sz w:val="32"/>
          <w:szCs w:val="32"/>
        </w:rPr>
        <w:fldChar w:fldCharType="end"/>
      </w:r>
      <w:r w:rsidR="00EC3840" w:rsidRPr="001E0DA6">
        <w:rPr>
          <w:rFonts w:cs="Arial"/>
          <w:b/>
          <w:i/>
          <w:sz w:val="32"/>
          <w:szCs w:val="32"/>
        </w:rPr>
        <w:fldChar w:fldCharType="begin">
          <w:ffData>
            <w:name w:val="Text33"/>
            <w:enabled/>
            <w:calcOnExit w:val="0"/>
            <w:statusText w:type="text" w:val="Insert Name of Public Authority"/>
            <w:textInput/>
          </w:ffData>
        </w:fldChar>
      </w:r>
      <w:bookmarkStart w:id="2" w:name="Text33"/>
      <w:r w:rsidR="00FF029C" w:rsidRPr="001E0DA6">
        <w:rPr>
          <w:rFonts w:cs="Arial"/>
          <w:b/>
          <w:i/>
          <w:sz w:val="32"/>
          <w:szCs w:val="32"/>
        </w:rPr>
        <w:instrText xml:space="preserve"> FORMTEXT </w:instrText>
      </w:r>
      <w:r w:rsidR="002C752A">
        <w:rPr>
          <w:rFonts w:cs="Arial"/>
          <w:b/>
          <w:i/>
          <w:sz w:val="32"/>
          <w:szCs w:val="32"/>
        </w:rPr>
      </w:r>
      <w:r w:rsidR="002C752A">
        <w:rPr>
          <w:rFonts w:cs="Arial"/>
          <w:b/>
          <w:i/>
          <w:sz w:val="32"/>
          <w:szCs w:val="32"/>
        </w:rPr>
        <w:fldChar w:fldCharType="separate"/>
      </w:r>
      <w:r w:rsidR="00EC3840" w:rsidRPr="001E0DA6">
        <w:rPr>
          <w:rFonts w:cs="Arial"/>
          <w:b/>
          <w:i/>
          <w:sz w:val="32"/>
          <w:szCs w:val="32"/>
        </w:rPr>
        <w:fldChar w:fldCharType="end"/>
      </w:r>
      <w:bookmarkEnd w:id="2"/>
    </w:p>
    <w:sdt>
      <w:sdtPr>
        <w:rPr>
          <w:rFonts w:cs="Arial"/>
          <w:b/>
          <w:i/>
          <w:noProof/>
          <w:sz w:val="32"/>
          <w:szCs w:val="24"/>
          <w:lang w:eastAsia="en-GB"/>
        </w:rPr>
        <w:id w:val="31857345"/>
        <w:picture/>
      </w:sdtPr>
      <w:sdtEndPr/>
      <w:sdtContent>
        <w:p w:rsidR="005826EE" w:rsidRPr="00A64A74" w:rsidRDefault="00367EB3" w:rsidP="00E31179">
          <w:pPr>
            <w:spacing w:before="120" w:after="120" w:line="480" w:lineRule="auto"/>
            <w:jc w:val="center"/>
            <w:rPr>
              <w:rFonts w:cs="Arial"/>
              <w:b/>
              <w:i/>
              <w:sz w:val="32"/>
              <w:szCs w:val="24"/>
            </w:rPr>
          </w:pPr>
          <w:r w:rsidRPr="00367EB3">
            <w:rPr>
              <w:rFonts w:cs="Arial"/>
              <w:b/>
              <w:i/>
              <w:noProof/>
              <w:sz w:val="32"/>
              <w:szCs w:val="24"/>
              <w:lang w:eastAsia="en-GB"/>
            </w:rPr>
            <w:drawing>
              <wp:inline distT="0" distB="0" distL="0" distR="0">
                <wp:extent cx="2957540" cy="866775"/>
                <wp:effectExtent l="0" t="0" r="0" b="0"/>
                <wp:docPr id="1" name="Picture 1" descr="G:\PON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NI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209" cy="874591"/>
                        </a:xfrm>
                        <a:prstGeom prst="rect">
                          <a:avLst/>
                        </a:prstGeom>
                        <a:noFill/>
                        <a:ln>
                          <a:noFill/>
                        </a:ln>
                      </pic:spPr>
                    </pic:pic>
                  </a:graphicData>
                </a:graphic>
              </wp:inline>
            </w:drawing>
          </w:r>
        </w:p>
      </w:sdtContent>
    </w:sdt>
    <w:p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r w:rsidR="005F0525">
        <w:rPr>
          <w:rFonts w:cs="Arial"/>
          <w:b/>
          <w:sz w:val="32"/>
          <w:szCs w:val="24"/>
        </w:rPr>
        <w:t>2017</w:t>
      </w:r>
      <w:r w:rsidRPr="009D26F3">
        <w:rPr>
          <w:rFonts w:cs="Arial"/>
          <w:b/>
          <w:sz w:val="32"/>
          <w:szCs w:val="24"/>
        </w:rPr>
        <w:t>-1</w:t>
      </w:r>
      <w:r w:rsidR="005F0525">
        <w:rPr>
          <w:rFonts w:cs="Arial"/>
          <w:b/>
          <w:sz w:val="32"/>
          <w:szCs w:val="24"/>
        </w:rPr>
        <w:t>8</w:t>
      </w:r>
    </w:p>
    <w:tbl>
      <w:tblPr>
        <w:tblStyle w:val="TableGrid"/>
        <w:tblW w:w="4864" w:type="pct"/>
        <w:tblLook w:val="04A0" w:firstRow="1" w:lastRow="0" w:firstColumn="1" w:lastColumn="0" w:noHBand="0" w:noVBand="1"/>
      </w:tblPr>
      <w:tblGrid>
        <w:gridCol w:w="3667"/>
        <w:gridCol w:w="5687"/>
      </w:tblGrid>
      <w:tr w:rsidR="00D9233A" w:rsidRPr="009D26F3" w:rsidTr="006C6B75">
        <w:tc>
          <w:tcPr>
            <w:tcW w:w="5000" w:type="pct"/>
            <w:gridSpan w:val="2"/>
            <w:tcBorders>
              <w:top w:val="nil"/>
              <w:left w:val="nil"/>
              <w:bottom w:val="nil"/>
              <w:right w:val="nil"/>
            </w:tcBorders>
          </w:tcPr>
          <w:p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rsidTr="006C6B75">
        <w:tc>
          <w:tcPr>
            <w:tcW w:w="1960" w:type="pct"/>
            <w:tcBorders>
              <w:top w:val="single" w:sz="4" w:space="0" w:color="auto"/>
              <w:bottom w:val="single" w:sz="4" w:space="0" w:color="auto"/>
              <w:right w:val="nil"/>
            </w:tcBorders>
          </w:tcPr>
          <w:p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367EB3">
              <w:rPr>
                <w:rFonts w:cs="Arial"/>
                <w:sz w:val="24"/>
                <w:szCs w:val="24"/>
              </w:rPr>
              <w:t>Paula Gillespie</w:t>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367EB3">
              <w:rPr>
                <w:rFonts w:cs="Arial"/>
                <w:sz w:val="24"/>
                <w:szCs w:val="24"/>
              </w:rPr>
              <w:t>028 9082 8622</w:t>
            </w:r>
          </w:p>
          <w:p w:rsidR="00D9233A" w:rsidRPr="009D26F3" w:rsidRDefault="00D9233A" w:rsidP="00367EB3">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367EB3">
              <w:rPr>
                <w:rFonts w:cs="Arial"/>
                <w:sz w:val="24"/>
                <w:szCs w:val="24"/>
              </w:rPr>
              <w:t>paula.gillespie@policeombudsman.org</w:t>
            </w:r>
          </w:p>
        </w:tc>
      </w:tr>
      <w:tr w:rsidR="00D9233A" w:rsidRPr="009D26F3" w:rsidTr="006C6B75">
        <w:tc>
          <w:tcPr>
            <w:tcW w:w="1960" w:type="pct"/>
            <w:tcBorders>
              <w:bottom w:val="single" w:sz="4" w:space="0" w:color="auto"/>
              <w:right w:val="nil"/>
            </w:tcBorders>
          </w:tcPr>
          <w:p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367EB3">
              <w:rPr>
                <w:rFonts w:cs="Arial"/>
                <w:sz w:val="24"/>
                <w:szCs w:val="24"/>
              </w:rPr>
              <w:fldChar w:fldCharType="begin">
                <w:ffData>
                  <w:name w:val="Check1"/>
                  <w:enabled/>
                  <w:calcOnExit w:val="0"/>
                  <w:statusText w:type="text" w:val="Double click to open tick box"/>
                  <w:checkBox>
                    <w:sizeAuto/>
                    <w:default w:val="1"/>
                  </w:checkBox>
                </w:ffData>
              </w:fldChar>
            </w:r>
            <w:bookmarkStart w:id="3" w:name="Check1"/>
            <w:r w:rsidR="00367EB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00367EB3">
              <w:rPr>
                <w:rFonts w:cs="Arial"/>
                <w:sz w:val="24"/>
                <w:szCs w:val="24"/>
              </w:rPr>
              <w:fldChar w:fldCharType="end"/>
            </w:r>
            <w:bookmarkEnd w:id="3"/>
            <w:r w:rsidR="0095134C">
              <w:rPr>
                <w:rFonts w:cs="Arial"/>
                <w:sz w:val="24"/>
                <w:szCs w:val="24"/>
              </w:rPr>
              <w:t xml:space="preserve"> </w:t>
            </w:r>
            <w:r w:rsidR="0095134C" w:rsidRPr="0095134C">
              <w:rPr>
                <w:rFonts w:cs="Arial"/>
                <w:color w:val="808080" w:themeColor="background1" w:themeShade="80"/>
                <w:sz w:val="24"/>
                <w:szCs w:val="24"/>
              </w:rPr>
              <w:t>(double click to open)</w:t>
            </w:r>
          </w:p>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tc>
      </w:tr>
      <w:tr w:rsidR="00D9233A" w:rsidRPr="009D26F3" w:rsidTr="006C6B75">
        <w:tc>
          <w:tcPr>
            <w:tcW w:w="5000" w:type="pct"/>
            <w:gridSpan w:val="2"/>
            <w:tcBorders>
              <w:left w:val="nil"/>
              <w:bottom w:val="nil"/>
              <w:right w:val="nil"/>
            </w:tcBorders>
          </w:tcPr>
          <w:p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rsidR="00133839" w:rsidRPr="001E0DA6" w:rsidRDefault="002C752A" w:rsidP="001E0DA6">
            <w:pPr>
              <w:spacing w:before="120" w:after="120"/>
              <w:rPr>
                <w:rFonts w:cs="Arial"/>
                <w:sz w:val="24"/>
                <w:szCs w:val="24"/>
              </w:rPr>
            </w:pPr>
            <w:hyperlink r:id="rId9" w:history="1">
              <w:r w:rsidR="00367EB3" w:rsidRPr="0001015E">
                <w:rPr>
                  <w:rStyle w:val="Hyperlink"/>
                  <w:rFonts w:cs="Arial"/>
                  <w:sz w:val="24"/>
                  <w:szCs w:val="24"/>
                </w:rPr>
                <w:t>www.policeombudsman.org/About-Us/Publications/Equality</w:t>
              </w:r>
            </w:hyperlink>
            <w:r w:rsidR="00367EB3">
              <w:rPr>
                <w:rFonts w:cs="Arial"/>
                <w:sz w:val="24"/>
                <w:szCs w:val="24"/>
              </w:rPr>
              <w:t xml:space="preserve"> </w:t>
            </w:r>
          </w:p>
        </w:tc>
      </w:tr>
      <w:tr w:rsidR="00D9233A" w:rsidRPr="009D26F3" w:rsidTr="006C6B75">
        <w:tc>
          <w:tcPr>
            <w:tcW w:w="5000" w:type="pct"/>
            <w:gridSpan w:val="2"/>
            <w:tcBorders>
              <w:top w:val="nil"/>
              <w:left w:val="nil"/>
              <w:bottom w:val="single" w:sz="4" w:space="0" w:color="auto"/>
              <w:right w:val="nil"/>
            </w:tcBorders>
          </w:tcPr>
          <w:p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rsidTr="006C6B75">
        <w:tc>
          <w:tcPr>
            <w:tcW w:w="5000" w:type="pct"/>
            <w:gridSpan w:val="2"/>
            <w:tcBorders>
              <w:top w:val="single" w:sz="4" w:space="0" w:color="auto"/>
            </w:tcBorders>
          </w:tcPr>
          <w:sdt>
            <w:sdtPr>
              <w:rPr>
                <w:rFonts w:cs="Arial"/>
                <w:sz w:val="24"/>
                <w:szCs w:val="24"/>
              </w:rPr>
              <w:id w:val="31857346"/>
              <w:showingPlcHdr/>
              <w:picture/>
            </w:sdtPr>
            <w:sdtEndPr/>
            <w:sdtContent>
              <w:p w:rsidR="00D9233A" w:rsidRPr="009D26F3" w:rsidRDefault="000B7756" w:rsidP="00D9233A">
                <w:pPr>
                  <w:spacing w:before="120" w:after="120"/>
                  <w:rPr>
                    <w:rFonts w:cs="Arial"/>
                    <w:sz w:val="24"/>
                    <w:szCs w:val="24"/>
                  </w:rPr>
                </w:pPr>
                <w:r>
                  <w:rPr>
                    <w:rFonts w:cs="Arial"/>
                    <w:noProof/>
                    <w:sz w:val="24"/>
                    <w:szCs w:val="24"/>
                    <w:lang w:eastAsia="en-GB"/>
                  </w:rPr>
                  <w:drawing>
                    <wp:inline distT="0" distB="0" distL="0" distR="0">
                      <wp:extent cx="3114675" cy="54292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14675" cy="542925"/>
                              </a:xfrm>
                              <a:prstGeom prst="rect">
                                <a:avLst/>
                              </a:prstGeom>
                              <a:noFill/>
                              <a:ln w="9525">
                                <a:noFill/>
                                <a:miter lim="800000"/>
                                <a:headEnd/>
                                <a:tailEnd/>
                              </a:ln>
                            </pic:spPr>
                          </pic:pic>
                        </a:graphicData>
                      </a:graphic>
                    </wp:inline>
                  </w:drawing>
                </w:r>
              </w:p>
            </w:sdtContent>
          </w:sdt>
          <w:p w:rsidR="00E31179" w:rsidRPr="009D26F3" w:rsidRDefault="00E31179" w:rsidP="00D9233A">
            <w:pPr>
              <w:spacing w:before="120" w:after="120"/>
              <w:rPr>
                <w:rFonts w:cs="Arial"/>
                <w:sz w:val="24"/>
                <w:szCs w:val="24"/>
              </w:rPr>
            </w:pPr>
          </w:p>
        </w:tc>
      </w:tr>
    </w:tbl>
    <w:p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1"/>
          <w:footerReference w:type="default" r:id="rId12"/>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5F0525">
        <w:rPr>
          <w:rFonts w:cs="Arial"/>
          <w:b/>
          <w:sz w:val="28"/>
          <w:szCs w:val="28"/>
        </w:rPr>
        <w:t>2017 and March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700"/>
      </w:tblGrid>
      <w:tr w:rsidR="00A475A4" w:rsidRPr="00414698" w:rsidTr="001E0DA6">
        <w:tc>
          <w:tcPr>
            <w:tcW w:w="9549" w:type="dxa"/>
            <w:gridSpan w:val="2"/>
          </w:tcPr>
          <w:p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rsidR="006C6B75" w:rsidRDefault="006C6B75" w:rsidP="004429A5">
            <w:pPr>
              <w:spacing w:before="120" w:after="120"/>
              <w:rPr>
                <w:rFonts w:cs="Arial"/>
                <w:b/>
                <w:sz w:val="28"/>
                <w:szCs w:val="28"/>
              </w:rPr>
            </w:pPr>
          </w:p>
          <w:p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rsidTr="001E0DA6">
        <w:tc>
          <w:tcPr>
            <w:tcW w:w="9549" w:type="dxa"/>
            <w:gridSpan w:val="2"/>
          </w:tcPr>
          <w:p w:rsidR="00A475A4" w:rsidRPr="009D26F3" w:rsidRDefault="00A475A4" w:rsidP="00635290">
            <w:pPr>
              <w:rPr>
                <w:rFonts w:cs="Arial"/>
                <w:b/>
                <w:sz w:val="24"/>
                <w:szCs w:val="24"/>
              </w:rPr>
            </w:pPr>
          </w:p>
        </w:tc>
      </w:tr>
      <w:tr w:rsidR="00A475A4" w:rsidRPr="009D26F3" w:rsidTr="001E0DA6">
        <w:tc>
          <w:tcPr>
            <w:tcW w:w="642" w:type="dxa"/>
          </w:tcPr>
          <w:p w:rsidR="00A475A4" w:rsidRPr="009D26F3" w:rsidRDefault="00F305B6" w:rsidP="004429A5">
            <w:pPr>
              <w:spacing w:before="120" w:after="120"/>
              <w:rPr>
                <w:rFonts w:cs="Arial"/>
                <w:b/>
                <w:sz w:val="24"/>
                <w:szCs w:val="24"/>
              </w:rPr>
            </w:pPr>
            <w:r w:rsidRPr="00F133CF">
              <w:rPr>
                <w:rFonts w:cs="Arial"/>
                <w:b/>
                <w:sz w:val="24"/>
                <w:szCs w:val="24"/>
              </w:rPr>
              <w:t>1</w:t>
            </w:r>
          </w:p>
        </w:tc>
        <w:tc>
          <w:tcPr>
            <w:tcW w:w="8907" w:type="dxa"/>
          </w:tcPr>
          <w:p w:rsidR="000E3318" w:rsidRDefault="00CD146B" w:rsidP="000E3318">
            <w:pPr>
              <w:spacing w:before="120" w:after="120"/>
              <w:rPr>
                <w:rFonts w:cs="Arial"/>
                <w:sz w:val="24"/>
                <w:szCs w:val="24"/>
              </w:rPr>
            </w:pPr>
            <w:r>
              <w:rPr>
                <w:rFonts w:cs="Arial"/>
                <w:sz w:val="24"/>
                <w:szCs w:val="24"/>
              </w:rPr>
              <w:t xml:space="preserve">In </w:t>
            </w:r>
            <w:r w:rsidR="005F0525">
              <w:rPr>
                <w:rFonts w:cs="Arial"/>
                <w:sz w:val="24"/>
                <w:szCs w:val="24"/>
              </w:rPr>
              <w:t>2017-18</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rsidR="00A475A4" w:rsidRPr="009D26F3" w:rsidRDefault="00A475A4" w:rsidP="000E3318">
            <w:pPr>
              <w:spacing w:before="120" w:after="120"/>
              <w:rPr>
                <w:rFonts w:cs="Arial"/>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9D26F3" w:rsidTr="001E0DA6">
        <w:tc>
          <w:tcPr>
            <w:tcW w:w="642" w:type="dxa"/>
          </w:tcPr>
          <w:p w:rsidR="00A475A4" w:rsidRPr="009D26F3" w:rsidRDefault="00A475A4" w:rsidP="004429A5">
            <w:pPr>
              <w:spacing w:before="120" w:after="120"/>
              <w:rPr>
                <w:rFonts w:cs="Arial"/>
                <w:b/>
                <w:sz w:val="24"/>
                <w:szCs w:val="24"/>
              </w:rPr>
            </w:pPr>
          </w:p>
        </w:tc>
        <w:tc>
          <w:tcPr>
            <w:tcW w:w="8907" w:type="dxa"/>
          </w:tcPr>
          <w:p w:rsidR="00C06046" w:rsidRDefault="002138D9" w:rsidP="001E0DA6">
            <w:pPr>
              <w:spacing w:before="120" w:after="120"/>
              <w:rPr>
                <w:rFonts w:cs="Arial"/>
                <w:sz w:val="24"/>
                <w:szCs w:val="24"/>
              </w:rPr>
            </w:pPr>
            <w:r>
              <w:rPr>
                <w:rFonts w:cs="Arial"/>
                <w:sz w:val="24"/>
                <w:szCs w:val="24"/>
              </w:rPr>
              <w:t>The Office has focused on engagement with various stakeholders, including those within the Section 75 categories during this period and has held meetings with organisations and groups in the community to discuss a variety of non case-related issues about the service we provide.</w:t>
            </w:r>
          </w:p>
          <w:p w:rsidR="002138D9" w:rsidRDefault="002138D9" w:rsidP="001E0DA6">
            <w:pPr>
              <w:spacing w:before="120" w:after="120"/>
              <w:rPr>
                <w:rFonts w:cs="Arial"/>
                <w:sz w:val="24"/>
                <w:szCs w:val="24"/>
              </w:rPr>
            </w:pPr>
            <w:r>
              <w:rPr>
                <w:rFonts w:cs="Arial"/>
                <w:sz w:val="24"/>
                <w:szCs w:val="24"/>
              </w:rPr>
              <w:t>We held Police Ombudsman stands at both the Belfast Pride and Mela, promoting the work of the Office to the large number of people present.</w:t>
            </w:r>
          </w:p>
          <w:p w:rsidR="002138D9" w:rsidRDefault="002138D9" w:rsidP="001E0DA6">
            <w:pPr>
              <w:spacing w:before="120" w:after="120"/>
              <w:rPr>
                <w:rFonts w:cs="Arial"/>
                <w:sz w:val="24"/>
                <w:szCs w:val="24"/>
              </w:rPr>
            </w:pPr>
            <w:r>
              <w:rPr>
                <w:rFonts w:cs="Arial"/>
                <w:sz w:val="24"/>
                <w:szCs w:val="24"/>
              </w:rPr>
              <w:t>During the year we put out 45 press releases summarising some of the cases we investigate.  These stories are picked up by the broadcast media and printed online and in the press, ensuring many thousands of people across Northern Ireland regularly see and read about the work we do.</w:t>
            </w:r>
          </w:p>
          <w:p w:rsidR="002138D9" w:rsidRDefault="002138D9" w:rsidP="001E0DA6">
            <w:pPr>
              <w:spacing w:before="120" w:after="120"/>
              <w:rPr>
                <w:rFonts w:cs="Arial"/>
                <w:sz w:val="24"/>
                <w:szCs w:val="24"/>
              </w:rPr>
            </w:pPr>
            <w:r>
              <w:rPr>
                <w:rFonts w:cs="Arial"/>
                <w:sz w:val="24"/>
                <w:szCs w:val="24"/>
              </w:rPr>
              <w:t>The Office has also substantially increased our digital engagement which has enabled us to communicate with harder to reach groups securing a reach of over 25,000 users of facebook and 96,500 Tweet impressions on Twitter.</w:t>
            </w:r>
          </w:p>
          <w:p w:rsidR="002138D9" w:rsidRDefault="002138D9" w:rsidP="001E0DA6">
            <w:pPr>
              <w:spacing w:before="120" w:after="120"/>
              <w:rPr>
                <w:rFonts w:cs="Arial"/>
                <w:sz w:val="24"/>
                <w:szCs w:val="24"/>
              </w:rPr>
            </w:pPr>
            <w:r>
              <w:rPr>
                <w:rFonts w:cs="Arial"/>
                <w:sz w:val="24"/>
                <w:szCs w:val="24"/>
              </w:rPr>
              <w:t>Much of our outreach work is focused on raising awareness of the complaints system among children and young people.  To this end we developed an ‘app’ which helps to inform young people about the role of the Office.  This was launched on Android platforms in March and will go live on Apple platforms during the incoming period.</w:t>
            </w:r>
          </w:p>
          <w:p w:rsidR="002138D9" w:rsidRDefault="002138D9" w:rsidP="001E0DA6">
            <w:pPr>
              <w:spacing w:before="120" w:after="120"/>
              <w:rPr>
                <w:rFonts w:cs="Arial"/>
                <w:sz w:val="24"/>
                <w:szCs w:val="24"/>
              </w:rPr>
            </w:pPr>
            <w:r>
              <w:rPr>
                <w:rFonts w:cs="Arial"/>
                <w:sz w:val="24"/>
                <w:szCs w:val="24"/>
              </w:rPr>
              <w:t>The Office was previously chosen as of the organisations students can select to study as part of the ‘Learning for Life and Work’ GCSE.  We have built on that contact and this year our work will be a mandatory part of the assessed curriculum.  We have a new programme of school engagements organised on the back of this and a new updated presentation designed particularly to engage school audiences.</w:t>
            </w:r>
          </w:p>
          <w:p w:rsidR="002138D9" w:rsidRDefault="002138D9" w:rsidP="001E0DA6">
            <w:pPr>
              <w:spacing w:before="120" w:after="120"/>
              <w:rPr>
                <w:rFonts w:cs="Arial"/>
                <w:sz w:val="24"/>
                <w:szCs w:val="24"/>
              </w:rPr>
            </w:pPr>
            <w:r>
              <w:rPr>
                <w:rFonts w:cs="Arial"/>
                <w:sz w:val="24"/>
                <w:szCs w:val="24"/>
              </w:rPr>
              <w:t xml:space="preserve">After communications with CCEA around our outreach possibilities, our new app and our community engagement opportunities were introduced to around 100 teachers at two seminars.  A new student portal was also </w:t>
            </w:r>
            <w:r w:rsidR="00074412">
              <w:rPr>
                <w:rFonts w:cs="Arial"/>
                <w:sz w:val="24"/>
                <w:szCs w:val="24"/>
              </w:rPr>
              <w:t>added to the corporate website to direct educationalists and young people to relevant resources and direct them to our community engagement department to discuss and arrange outreach opportunities.</w:t>
            </w:r>
          </w:p>
          <w:p w:rsidR="00074412" w:rsidRDefault="00074412" w:rsidP="001E0DA6">
            <w:pPr>
              <w:spacing w:before="120" w:after="120"/>
              <w:rPr>
                <w:rFonts w:cs="Arial"/>
                <w:sz w:val="24"/>
                <w:szCs w:val="24"/>
              </w:rPr>
            </w:pPr>
            <w:r>
              <w:rPr>
                <w:rFonts w:cs="Arial"/>
                <w:sz w:val="24"/>
                <w:szCs w:val="24"/>
              </w:rPr>
              <w:t>There are approximately 9000 pupils in Northern Ireland that study this GCSE subject each year, and it is hoped that the students who study us will in themselves be a major source for information about the Office among their peer groups.</w:t>
            </w:r>
          </w:p>
          <w:p w:rsidR="00074412" w:rsidRDefault="00074412" w:rsidP="001E0DA6">
            <w:pPr>
              <w:spacing w:before="120" w:after="120"/>
              <w:rPr>
                <w:rFonts w:cs="Arial"/>
                <w:sz w:val="24"/>
                <w:szCs w:val="24"/>
              </w:rPr>
            </w:pPr>
            <w:r>
              <w:rPr>
                <w:rFonts w:cs="Arial"/>
                <w:sz w:val="24"/>
                <w:szCs w:val="24"/>
              </w:rPr>
              <w:lastRenderedPageBreak/>
              <w:t>The Ombudsman has also embarked on a series of high profile speaking engagements addressing victims and survivor groups as well as politicians and academics.  These have included legacy events organised by Queen’s University, Belfast and Feile an Phobail and will be followed up by additional engagements throughout the year.</w:t>
            </w:r>
          </w:p>
          <w:p w:rsidR="00074412" w:rsidRDefault="00074412" w:rsidP="001E0DA6">
            <w:pPr>
              <w:spacing w:before="120" w:after="120"/>
              <w:rPr>
                <w:rFonts w:cs="Arial"/>
                <w:sz w:val="24"/>
                <w:szCs w:val="24"/>
              </w:rPr>
            </w:pPr>
            <w:r>
              <w:rPr>
                <w:rFonts w:cs="Arial"/>
                <w:sz w:val="24"/>
                <w:szCs w:val="24"/>
              </w:rPr>
              <w:t>We have also embarked on a series of engagements with political parties and, more specifically, their case and constituency workers who are working with members of the community at a grassroots level.  Meetings will be held with all the main parties in the north during the incoming reporting period.</w:t>
            </w:r>
          </w:p>
          <w:p w:rsidR="00074412" w:rsidRDefault="00074412" w:rsidP="001E0DA6">
            <w:pPr>
              <w:spacing w:before="120" w:after="120"/>
              <w:rPr>
                <w:rFonts w:cs="Arial"/>
                <w:sz w:val="24"/>
                <w:szCs w:val="24"/>
              </w:rPr>
            </w:pPr>
            <w:r>
              <w:rPr>
                <w:rFonts w:cs="Arial"/>
                <w:sz w:val="24"/>
                <w:szCs w:val="24"/>
              </w:rPr>
              <w:t>These will follow initial meetings with church leaders and community workers to gauge the perception of the Office in specific communities.  A programme of engagement will be drawn up when discussions are complete.</w:t>
            </w:r>
          </w:p>
          <w:p w:rsidR="00074412" w:rsidRDefault="00074412" w:rsidP="001E0DA6">
            <w:pPr>
              <w:spacing w:before="120" w:after="120"/>
              <w:rPr>
                <w:rFonts w:cs="Arial"/>
                <w:sz w:val="24"/>
                <w:szCs w:val="24"/>
              </w:rPr>
            </w:pPr>
            <w:r>
              <w:rPr>
                <w:rFonts w:cs="Arial"/>
                <w:sz w:val="24"/>
                <w:szCs w:val="24"/>
              </w:rPr>
              <w:t>We will also continue to expand our digital engagement and will be publishing a quarterly Office e-zine for internal and external audiences.</w:t>
            </w:r>
          </w:p>
          <w:p w:rsidR="00074412" w:rsidRDefault="00305325" w:rsidP="001E0DA6">
            <w:pPr>
              <w:spacing w:before="120" w:after="120"/>
              <w:rPr>
                <w:rFonts w:cs="Arial"/>
                <w:sz w:val="24"/>
                <w:szCs w:val="24"/>
              </w:rPr>
            </w:pPr>
            <w:r>
              <w:rPr>
                <w:rFonts w:cs="Arial"/>
                <w:sz w:val="24"/>
                <w:szCs w:val="24"/>
              </w:rPr>
              <w:t>The Office has also hel</w:t>
            </w:r>
            <w:r w:rsidR="00074412">
              <w:rPr>
                <w:rFonts w:cs="Arial"/>
                <w:sz w:val="24"/>
                <w:szCs w:val="24"/>
              </w:rPr>
              <w:t>d initial discussions with local Policing and Community Safety Partnerships (PCSP) and will be carrying out introductory presentations with new PSCP members when the recruitment begins in the incoming period.</w:t>
            </w:r>
          </w:p>
          <w:p w:rsidR="00891C80" w:rsidRDefault="00891C80" w:rsidP="001E0DA6">
            <w:pPr>
              <w:spacing w:before="120" w:after="120"/>
              <w:rPr>
                <w:rFonts w:cs="Arial"/>
                <w:sz w:val="24"/>
                <w:szCs w:val="24"/>
              </w:rPr>
            </w:pPr>
            <w:r>
              <w:rPr>
                <w:rFonts w:cs="Arial"/>
                <w:sz w:val="24"/>
                <w:szCs w:val="24"/>
              </w:rPr>
              <w:t>The Office continued to facilitate a number of Coffee and Learn sessions in this reporting period, to which all staff are encouraged to attend and which we continue to incorporate Section 75 groups.  This year, this included a presentation from Age NI and in the incoming period plan to incorporate presentations from Ethnic Minority groups.</w:t>
            </w:r>
          </w:p>
          <w:p w:rsidR="00B867F7" w:rsidRPr="009D26F3" w:rsidRDefault="00B867F7" w:rsidP="001E0DA6">
            <w:pPr>
              <w:spacing w:before="120" w:after="120"/>
              <w:rPr>
                <w:rFonts w:cs="Arial"/>
                <w:sz w:val="24"/>
                <w:szCs w:val="24"/>
              </w:rPr>
            </w:pPr>
            <w:r>
              <w:rPr>
                <w:rFonts w:cs="Arial"/>
                <w:sz w:val="24"/>
                <w:szCs w:val="24"/>
              </w:rPr>
              <w:t>The Office has re-convened the Equality Working Group, championed and chaired by a Director with representation from staff across the Office.  This group has met quarterly, has reviewed the equality action plan outcomes to date and discusses areas of progress and actions to be arranged.</w:t>
            </w:r>
          </w:p>
        </w:tc>
      </w:tr>
      <w:tr w:rsidR="00A475A4" w:rsidRPr="009D26F3" w:rsidTr="001E0DA6">
        <w:tc>
          <w:tcPr>
            <w:tcW w:w="642" w:type="dxa"/>
          </w:tcPr>
          <w:p w:rsidR="00A475A4" w:rsidRPr="009D26F3" w:rsidRDefault="00A475A4" w:rsidP="00635290">
            <w:pPr>
              <w:rPr>
                <w:rFonts w:cs="Arial"/>
                <w:b/>
                <w:sz w:val="24"/>
                <w:szCs w:val="24"/>
              </w:rPr>
            </w:pPr>
          </w:p>
        </w:tc>
        <w:tc>
          <w:tcPr>
            <w:tcW w:w="8907" w:type="dxa"/>
          </w:tcPr>
          <w:p w:rsidR="00A475A4" w:rsidRPr="009D26F3" w:rsidRDefault="00A475A4" w:rsidP="00635290">
            <w:pPr>
              <w:rPr>
                <w:rFonts w:cs="Arial"/>
                <w:sz w:val="24"/>
                <w:szCs w:val="24"/>
              </w:rPr>
            </w:pPr>
          </w:p>
        </w:tc>
      </w:tr>
    </w:tbl>
    <w:p w:rsidR="000B7756" w:rsidRDefault="000B7756" w:rsidP="004429A5">
      <w:pPr>
        <w:spacing w:before="120" w:after="120"/>
        <w:rPr>
          <w:rFonts w:cs="Arial"/>
          <w:b/>
          <w:sz w:val="24"/>
          <w:szCs w:val="24"/>
        </w:rPr>
        <w:sectPr w:rsidR="000B7756" w:rsidSect="006E47C9">
          <w:headerReference w:type="default" r:id="rId13"/>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700"/>
      </w:tblGrid>
      <w:tr w:rsidR="00BD0781" w:rsidRPr="009D26F3" w:rsidTr="001E0DA6">
        <w:tc>
          <w:tcPr>
            <w:tcW w:w="642" w:type="dxa"/>
          </w:tcPr>
          <w:p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rsidR="00BD0781" w:rsidRPr="009D26F3" w:rsidRDefault="008E3B4B" w:rsidP="001B1713">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5F0525">
              <w:rPr>
                <w:rFonts w:cs="Arial"/>
                <w:sz w:val="24"/>
                <w:szCs w:val="24"/>
              </w:rPr>
              <w:t>2017-18</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rsidTr="001E0DA6">
        <w:tc>
          <w:tcPr>
            <w:tcW w:w="642" w:type="dxa"/>
          </w:tcPr>
          <w:p w:rsidR="00BD0781" w:rsidRPr="009D26F3" w:rsidRDefault="00BD0781" w:rsidP="004429A5">
            <w:pPr>
              <w:spacing w:before="120" w:after="120"/>
              <w:rPr>
                <w:rFonts w:cs="Arial"/>
                <w:b/>
                <w:sz w:val="24"/>
                <w:szCs w:val="24"/>
              </w:rPr>
            </w:pPr>
          </w:p>
        </w:tc>
        <w:tc>
          <w:tcPr>
            <w:tcW w:w="8907" w:type="dxa"/>
            <w:vAlign w:val="center"/>
          </w:tcPr>
          <w:p w:rsidR="008E3B4B" w:rsidRDefault="00891C80" w:rsidP="001E0DA6">
            <w:pPr>
              <w:spacing w:before="120" w:after="120"/>
              <w:rPr>
                <w:rFonts w:cs="Arial"/>
                <w:sz w:val="24"/>
                <w:szCs w:val="24"/>
              </w:rPr>
            </w:pPr>
            <w:r>
              <w:rPr>
                <w:rFonts w:cs="Arial"/>
                <w:sz w:val="24"/>
                <w:szCs w:val="24"/>
              </w:rPr>
              <w:t xml:space="preserve">This is the first year of the Office action plan which was agreed in 2017.  </w:t>
            </w:r>
          </w:p>
          <w:p w:rsidR="00891C80" w:rsidRDefault="00891C80" w:rsidP="001E0DA6">
            <w:pPr>
              <w:spacing w:before="120" w:after="120"/>
              <w:rPr>
                <w:rFonts w:cs="Arial"/>
                <w:sz w:val="24"/>
                <w:szCs w:val="24"/>
              </w:rPr>
            </w:pPr>
            <w:r>
              <w:rPr>
                <w:rFonts w:cs="Arial"/>
                <w:sz w:val="24"/>
                <w:szCs w:val="24"/>
              </w:rPr>
              <w:t>The Office continues to monitor each recruitment competition and make use of ‘Welcome statements’ in the roles which have been identified as having under-representation.  The under-representation continues to fall within males in administrative grades in the Office and, to a lesser extent, females at senior grades.  External recruitment for these grades has remained low, however the Office plans to work on Administrative recruitment in this period.</w:t>
            </w:r>
          </w:p>
          <w:p w:rsidR="00891C80" w:rsidRPr="009D26F3" w:rsidRDefault="00F746F2" w:rsidP="001E0DA6">
            <w:pPr>
              <w:spacing w:before="120" w:after="120"/>
              <w:rPr>
                <w:rFonts w:cs="Arial"/>
                <w:sz w:val="24"/>
                <w:szCs w:val="24"/>
              </w:rPr>
            </w:pPr>
            <w:r>
              <w:rPr>
                <w:rFonts w:cs="Arial"/>
                <w:sz w:val="24"/>
                <w:szCs w:val="24"/>
              </w:rPr>
              <w:t>Overall when compared to the NI Monitored workforce of 51.6% of workers from a Protestant background and 48.4% from a Roman Catholic background, the Office’s latest fair employment monitoring return showed 55.8% of staff from a Protestant background and 44.2% from a Roman Catholic background.  The Office has no concern about the current representation of staff.</w:t>
            </w:r>
            <w:r w:rsidR="00891C80">
              <w:rPr>
                <w:rFonts w:cs="Arial"/>
                <w:sz w:val="24"/>
                <w:szCs w:val="24"/>
              </w:rPr>
              <w:t xml:space="preserve"> </w:t>
            </w:r>
          </w:p>
        </w:tc>
      </w:tr>
      <w:tr w:rsidR="00BD0781" w:rsidRPr="009D26F3" w:rsidTr="001E0DA6">
        <w:tc>
          <w:tcPr>
            <w:tcW w:w="642" w:type="dxa"/>
          </w:tcPr>
          <w:p w:rsidR="00BD0781" w:rsidRPr="009D26F3" w:rsidRDefault="00BD0781" w:rsidP="00635290">
            <w:pPr>
              <w:rPr>
                <w:rFonts w:cs="Arial"/>
                <w:b/>
                <w:sz w:val="24"/>
                <w:szCs w:val="24"/>
              </w:rPr>
            </w:pPr>
          </w:p>
        </w:tc>
        <w:tc>
          <w:tcPr>
            <w:tcW w:w="8907" w:type="dxa"/>
          </w:tcPr>
          <w:p w:rsidR="00BD0781" w:rsidRDefault="00F746F2" w:rsidP="00635290">
            <w:pPr>
              <w:rPr>
                <w:rFonts w:cs="Arial"/>
                <w:sz w:val="24"/>
                <w:szCs w:val="24"/>
              </w:rPr>
            </w:pPr>
            <w:r>
              <w:rPr>
                <w:rFonts w:cs="Arial"/>
                <w:sz w:val="24"/>
                <w:szCs w:val="24"/>
              </w:rPr>
              <w:t>One the areas on the action plan arose from potential issues relating to decreased success rates and appointments for those from the Protestant background and an increased number of leavers from a Roman Catholic background.  On review of this year fair employment monitoring return there were no concerns in these areas.  This will be continued to be monitored in line with this return and next Article 55 review.</w:t>
            </w:r>
          </w:p>
          <w:p w:rsidR="00F746F2" w:rsidRDefault="00F746F2" w:rsidP="00635290">
            <w:pPr>
              <w:rPr>
                <w:rFonts w:cs="Arial"/>
                <w:sz w:val="24"/>
                <w:szCs w:val="24"/>
              </w:rPr>
            </w:pPr>
          </w:p>
          <w:p w:rsidR="00F746F2" w:rsidRDefault="00F746F2" w:rsidP="00635290">
            <w:pPr>
              <w:rPr>
                <w:rFonts w:cs="Arial"/>
                <w:sz w:val="24"/>
                <w:szCs w:val="24"/>
              </w:rPr>
            </w:pPr>
            <w:r>
              <w:rPr>
                <w:rFonts w:cs="Arial"/>
                <w:sz w:val="24"/>
                <w:szCs w:val="24"/>
              </w:rPr>
              <w:t>In line with the Equality Action Plan, Equality training was provided to all staff in the form of an internal training programme entitled ‘what diversity means to me.’</w:t>
            </w:r>
          </w:p>
          <w:p w:rsidR="00F746F2" w:rsidRDefault="00F746F2" w:rsidP="00635290">
            <w:pPr>
              <w:rPr>
                <w:rFonts w:cs="Arial"/>
                <w:sz w:val="24"/>
                <w:szCs w:val="24"/>
              </w:rPr>
            </w:pPr>
          </w:p>
          <w:p w:rsidR="00F746F2" w:rsidRDefault="00F746F2" w:rsidP="00635290">
            <w:pPr>
              <w:rPr>
                <w:rFonts w:cs="Arial"/>
                <w:sz w:val="24"/>
                <w:szCs w:val="24"/>
              </w:rPr>
            </w:pPr>
            <w:r>
              <w:rPr>
                <w:rFonts w:cs="Arial"/>
                <w:sz w:val="24"/>
                <w:szCs w:val="24"/>
              </w:rPr>
              <w:t xml:space="preserve">There has been ongoing and consistent community engagement </w:t>
            </w:r>
            <w:r w:rsidR="00F93739">
              <w:rPr>
                <w:rFonts w:cs="Arial"/>
                <w:sz w:val="24"/>
                <w:szCs w:val="24"/>
              </w:rPr>
              <w:t>as outlined in section one.</w:t>
            </w:r>
          </w:p>
          <w:p w:rsidR="00F93739" w:rsidRPr="009D26F3" w:rsidRDefault="00F93739" w:rsidP="00635290">
            <w:pPr>
              <w:rPr>
                <w:rFonts w:cs="Arial"/>
                <w:sz w:val="24"/>
                <w:szCs w:val="24"/>
              </w:rPr>
            </w:pPr>
          </w:p>
        </w:tc>
      </w:tr>
    </w:tbl>
    <w:p w:rsidR="000B7756" w:rsidRDefault="000B7756" w:rsidP="00A475A4">
      <w:pPr>
        <w:spacing w:before="120" w:after="120"/>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66"/>
        <w:gridCol w:w="1521"/>
        <w:gridCol w:w="713"/>
        <w:gridCol w:w="1918"/>
        <w:gridCol w:w="840"/>
        <w:gridCol w:w="3047"/>
      </w:tblGrid>
      <w:tr w:rsidR="00A475A4" w:rsidRPr="009D26F3" w:rsidTr="001E0DA6">
        <w:tc>
          <w:tcPr>
            <w:tcW w:w="635" w:type="dxa"/>
          </w:tcPr>
          <w:p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rsidR="00A475A4" w:rsidRPr="009D26F3" w:rsidRDefault="00A475A4" w:rsidP="001B1713">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5F0525">
              <w:rPr>
                <w:rFonts w:cs="Arial"/>
                <w:sz w:val="24"/>
                <w:szCs w:val="24"/>
              </w:rPr>
              <w:t>2017-18</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673" w:type="dxa"/>
            <w:vAlign w:val="center"/>
          </w:tcPr>
          <w:p w:rsidR="00A475A4" w:rsidRPr="009D26F3" w:rsidRDefault="00EC3840" w:rsidP="00A475A4">
            <w:pPr>
              <w:spacing w:before="120" w:after="120"/>
              <w:rPr>
                <w:rFonts w:cs="Arial"/>
                <w:sz w:val="24"/>
                <w:szCs w:val="24"/>
              </w:rPr>
            </w:pPr>
            <w:r w:rsidRPr="009D26F3">
              <w:rPr>
                <w:rFonts w:cs="Arial"/>
                <w:sz w:val="24"/>
                <w:szCs w:val="24"/>
              </w:rPr>
              <w:fldChar w:fldCharType="begin">
                <w:ffData>
                  <w:name w:val=""/>
                  <w:enabled/>
                  <w:calcOnExit w:val="0"/>
                  <w:checkBox>
                    <w:sizeAuto/>
                    <w:default w:val="0"/>
                  </w:checkBox>
                </w:ffData>
              </w:fldChar>
            </w:r>
            <w:r w:rsidR="00A475A4"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564" w:type="dxa"/>
            <w:vAlign w:val="center"/>
          </w:tcPr>
          <w:p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rsidR="00A475A4" w:rsidRPr="009D26F3" w:rsidRDefault="00B867F7"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1974"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3127"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rsidTr="001E0DA6">
        <w:trPr>
          <w:trHeight w:val="64"/>
        </w:trPr>
        <w:tc>
          <w:tcPr>
            <w:tcW w:w="635" w:type="dxa"/>
            <w:vMerge w:val="restart"/>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BD0781">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rsidTr="00D96F15">
        <w:trPr>
          <w:trHeight w:val="709"/>
        </w:trPr>
        <w:tc>
          <w:tcPr>
            <w:tcW w:w="9645" w:type="dxa"/>
            <w:gridSpan w:val="32"/>
          </w:tcPr>
          <w:p w:rsidR="00F62B04" w:rsidRDefault="00F62B04" w:rsidP="00414698">
            <w:pPr>
              <w:spacing w:before="120" w:after="120"/>
              <w:rPr>
                <w:rFonts w:cs="Arial"/>
                <w:b/>
                <w:sz w:val="28"/>
                <w:szCs w:val="28"/>
              </w:rPr>
            </w:pPr>
          </w:p>
          <w:p w:rsidR="00F62B04" w:rsidRDefault="00F62B04" w:rsidP="00414698">
            <w:pPr>
              <w:spacing w:before="120" w:after="120"/>
              <w:rPr>
                <w:rFonts w:cs="Arial"/>
                <w:b/>
                <w:sz w:val="28"/>
                <w:szCs w:val="28"/>
              </w:rPr>
            </w:pPr>
          </w:p>
          <w:p w:rsidR="009D2CD7" w:rsidRPr="00D96F15" w:rsidRDefault="00BD0781" w:rsidP="00414698">
            <w:pPr>
              <w:spacing w:before="120" w:after="120"/>
              <w:rPr>
                <w:rFonts w:cs="Arial"/>
                <w:b/>
                <w:sz w:val="16"/>
                <w:szCs w:val="16"/>
              </w:rPr>
            </w:pPr>
            <w:r w:rsidRPr="00414698">
              <w:rPr>
                <w:rFonts w:cs="Arial"/>
                <w:b/>
                <w:sz w:val="28"/>
                <w:szCs w:val="28"/>
              </w:rPr>
              <w:lastRenderedPageBreak/>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rsidTr="000B7756">
        <w:tc>
          <w:tcPr>
            <w:tcW w:w="9645" w:type="dxa"/>
            <w:gridSpan w:val="32"/>
          </w:tcPr>
          <w:p w:rsidR="00414698" w:rsidRPr="00414698" w:rsidRDefault="00414698" w:rsidP="00414698">
            <w:pPr>
              <w:spacing w:before="120" w:after="120"/>
              <w:rPr>
                <w:rFonts w:cs="Arial"/>
                <w:b/>
                <w:sz w:val="24"/>
                <w:szCs w:val="24"/>
              </w:rPr>
            </w:pPr>
            <w:r>
              <w:rPr>
                <w:rFonts w:cs="Arial"/>
                <w:b/>
                <w:sz w:val="24"/>
                <w:szCs w:val="24"/>
              </w:rPr>
              <w:lastRenderedPageBreak/>
              <w:t xml:space="preserve">Arrangements for assessing compliance </w:t>
            </w:r>
            <w:r w:rsidRPr="009D26F3">
              <w:rPr>
                <w:rFonts w:cs="Arial"/>
                <w:b/>
                <w:sz w:val="24"/>
                <w:szCs w:val="24"/>
              </w:rPr>
              <w:t>(Model Equality Scheme Chapter 2)</w:t>
            </w: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5F0525">
              <w:rPr>
                <w:sz w:val="24"/>
                <w:szCs w:val="24"/>
              </w:rPr>
              <w:t>2017-18</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4" w:name="Check2"/>
            <w:r w:rsidR="00F305B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bookmarkEnd w:id="4"/>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305325"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305325"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rsidTr="000B7756">
        <w:tc>
          <w:tcPr>
            <w:tcW w:w="608" w:type="dxa"/>
          </w:tcPr>
          <w:p w:rsidR="00A475A4" w:rsidRPr="009D26F3" w:rsidRDefault="00A475A4" w:rsidP="00A475A4">
            <w:pPr>
              <w:spacing w:before="120" w:after="120"/>
              <w:rPr>
                <w:rFonts w:cs="Arial"/>
                <w:b/>
                <w:sz w:val="24"/>
                <w:szCs w:val="24"/>
              </w:rPr>
            </w:pPr>
          </w:p>
        </w:tc>
        <w:tc>
          <w:tcPr>
            <w:tcW w:w="9037" w:type="dxa"/>
            <w:gridSpan w:val="31"/>
            <w:vAlign w:val="center"/>
          </w:tcPr>
          <w:p w:rsidR="00635290" w:rsidRPr="009D26F3" w:rsidRDefault="00EC3840" w:rsidP="00F305B6">
            <w:pPr>
              <w:spacing w:before="120" w:after="120"/>
              <w:rPr>
                <w:rFonts w:cs="Arial"/>
                <w:sz w:val="24"/>
                <w:szCs w:val="24"/>
              </w:rPr>
            </w:pPr>
            <w:r w:rsidRPr="009D26F3">
              <w:rPr>
                <w:rFonts w:cs="Arial"/>
                <w:sz w:val="24"/>
                <w:szCs w:val="24"/>
              </w:rPr>
              <w:fldChar w:fldCharType="begin">
                <w:ffData>
                  <w:name w:val="Text22"/>
                  <w:enabled/>
                  <w:calcOnExit w:val="0"/>
                  <w:textInput/>
                </w:ffData>
              </w:fldChar>
            </w:r>
            <w:bookmarkStart w:id="5" w:name="Text22"/>
            <w:r w:rsidR="00F305B6"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Pr="009D26F3">
              <w:rPr>
                <w:rFonts w:cs="Arial"/>
                <w:sz w:val="24"/>
                <w:szCs w:val="24"/>
              </w:rPr>
              <w:fldChar w:fldCharType="end"/>
            </w:r>
            <w:bookmarkEnd w:id="5"/>
          </w:p>
        </w:tc>
      </w:tr>
      <w:tr w:rsidR="00F25F10" w:rsidRPr="009D26F3" w:rsidTr="000B7756">
        <w:tc>
          <w:tcPr>
            <w:tcW w:w="608" w:type="dxa"/>
          </w:tcPr>
          <w:p w:rsidR="00F25F10" w:rsidRPr="009D2CD7" w:rsidRDefault="00F25F10" w:rsidP="00F305B6">
            <w:pPr>
              <w:pStyle w:val="ListNumber"/>
              <w:numPr>
                <w:ilvl w:val="0"/>
                <w:numId w:val="0"/>
              </w:numPr>
              <w:rPr>
                <w:b/>
                <w:sz w:val="24"/>
                <w:szCs w:val="24"/>
              </w:rPr>
            </w:pPr>
          </w:p>
        </w:tc>
        <w:tc>
          <w:tcPr>
            <w:tcW w:w="9037" w:type="dxa"/>
            <w:gridSpan w:val="31"/>
          </w:tcPr>
          <w:p w:rsidR="00F25F10" w:rsidRPr="00D96F15" w:rsidRDefault="00F25F10" w:rsidP="00CD20E3">
            <w:pPr>
              <w:pStyle w:val="ListNumber"/>
              <w:numPr>
                <w:ilvl w:val="0"/>
                <w:numId w:val="0"/>
              </w:numPr>
              <w:rPr>
                <w:sz w:val="16"/>
                <w:szCs w:val="16"/>
              </w:rPr>
            </w:pP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5F0525">
              <w:rPr>
                <w:sz w:val="24"/>
                <w:szCs w:val="24"/>
              </w:rPr>
              <w:t>2017-18</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B867F7"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rsidTr="00D96F15">
        <w:trPr>
          <w:trHeight w:val="479"/>
        </w:trPr>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635290" w:rsidRPr="009D26F3" w:rsidRDefault="00EC3840" w:rsidP="00F25F10">
            <w:pPr>
              <w:spacing w:before="120" w:after="120"/>
              <w:rPr>
                <w:rFonts w:cs="Arial"/>
                <w:sz w:val="24"/>
                <w:szCs w:val="24"/>
              </w:rPr>
            </w:pPr>
            <w:r w:rsidRPr="009D26F3">
              <w:rPr>
                <w:rFonts w:cs="Arial"/>
                <w:sz w:val="24"/>
                <w:szCs w:val="24"/>
              </w:rPr>
              <w:fldChar w:fldCharType="begin">
                <w:ffData>
                  <w:name w:val="Text23"/>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D96F15" w:rsidRPr="00D96F15" w:rsidTr="000B7756">
        <w:trPr>
          <w:gridAfter w:val="31"/>
          <w:wAfter w:w="9037" w:type="dxa"/>
        </w:trPr>
        <w:tc>
          <w:tcPr>
            <w:tcW w:w="608" w:type="dxa"/>
          </w:tcPr>
          <w:p w:rsidR="00D96F15" w:rsidRPr="00CD20E3" w:rsidRDefault="00D96F15" w:rsidP="00635290">
            <w:pPr>
              <w:rPr>
                <w:rFonts w:cs="Arial"/>
                <w:b/>
                <w:sz w:val="24"/>
                <w:szCs w:val="24"/>
              </w:rPr>
            </w:pPr>
          </w:p>
        </w:tc>
      </w:tr>
      <w:tr w:rsidR="00F305B6" w:rsidRPr="009D26F3" w:rsidTr="000B7756">
        <w:tc>
          <w:tcPr>
            <w:tcW w:w="608" w:type="dxa"/>
          </w:tcPr>
          <w:p w:rsidR="00F305B6" w:rsidRPr="000D1CE4" w:rsidRDefault="00F305B6" w:rsidP="00F305B6">
            <w:pPr>
              <w:spacing w:before="120" w:after="120"/>
              <w:rPr>
                <w:rFonts w:cs="Arial"/>
                <w:b/>
                <w:sz w:val="24"/>
                <w:szCs w:val="24"/>
                <w:highlight w:val="yellow"/>
              </w:rPr>
            </w:pPr>
          </w:p>
        </w:tc>
        <w:tc>
          <w:tcPr>
            <w:tcW w:w="9037" w:type="dxa"/>
            <w:gridSpan w:val="31"/>
          </w:tcPr>
          <w:p w:rsidR="00F305B6" w:rsidRPr="009D26F3" w:rsidRDefault="00F305B6" w:rsidP="001B1713">
            <w:pPr>
              <w:spacing w:before="120" w:after="120"/>
              <w:rPr>
                <w:rFonts w:cs="Arial"/>
                <w:sz w:val="24"/>
                <w:szCs w:val="24"/>
              </w:rPr>
            </w:pPr>
            <w:r w:rsidRPr="009D26F3">
              <w:rPr>
                <w:rFonts w:cs="Arial"/>
                <w:sz w:val="24"/>
                <w:szCs w:val="24"/>
              </w:rPr>
              <w:t xml:space="preserve">In the </w:t>
            </w:r>
            <w:r w:rsidR="005F0525">
              <w:rPr>
                <w:rFonts w:cs="Arial"/>
                <w:sz w:val="24"/>
                <w:szCs w:val="24"/>
              </w:rPr>
              <w:t>2017-18</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rsidTr="00D96F15">
        <w:trPr>
          <w:trHeight w:val="507"/>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B867F7"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B867F7"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305325"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4365C2">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5F0525">
              <w:rPr>
                <w:rFonts w:cs="Arial"/>
                <w:sz w:val="24"/>
                <w:szCs w:val="24"/>
              </w:rPr>
              <w:t>2017-18</w:t>
            </w:r>
            <w:r w:rsidRPr="009D26F3">
              <w:rPr>
                <w:rFonts w:cs="Arial"/>
                <w:sz w:val="24"/>
                <w:szCs w:val="24"/>
              </w:rPr>
              <w:t xml:space="preserve"> report</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vAlign w:val="center"/>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3"/>
                  <w:enabled/>
                  <w:calcOnExit w:val="0"/>
                  <w:textInput/>
                </w:ffData>
              </w:fldChar>
            </w:r>
            <w:bookmarkStart w:id="6" w:name="Text23"/>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6"/>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rsidTr="000B7756">
        <w:tc>
          <w:tcPr>
            <w:tcW w:w="608" w:type="dxa"/>
          </w:tcPr>
          <w:p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rsidR="00AD7A86" w:rsidRPr="009D26F3" w:rsidRDefault="00AD7A86" w:rsidP="00534B70">
            <w:pPr>
              <w:spacing w:before="120" w:after="120"/>
              <w:rPr>
                <w:rFonts w:cs="Arial"/>
                <w:sz w:val="24"/>
                <w:szCs w:val="24"/>
              </w:rPr>
            </w:pPr>
            <w:r w:rsidRPr="009D26F3">
              <w:rPr>
                <w:rFonts w:cs="Arial"/>
                <w:sz w:val="24"/>
                <w:szCs w:val="24"/>
              </w:rPr>
              <w:t xml:space="preserve">Within the </w:t>
            </w:r>
            <w:r w:rsidR="005F0525">
              <w:rPr>
                <w:rFonts w:cs="Arial"/>
                <w:sz w:val="24"/>
                <w:szCs w:val="24"/>
              </w:rPr>
              <w:t>2017-18</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rsidR="00AD7A86" w:rsidRPr="009D26F3" w:rsidRDefault="00B867F7" w:rsidP="00F305B6">
            <w:pPr>
              <w:rPr>
                <w:sz w:val="24"/>
                <w:szCs w:val="24"/>
              </w:rPr>
            </w:pPr>
            <w:r>
              <w:rPr>
                <w:sz w:val="24"/>
                <w:szCs w:val="24"/>
              </w:rPr>
              <w:t>1</w:t>
            </w:r>
          </w:p>
        </w:tc>
        <w:tc>
          <w:tcPr>
            <w:tcW w:w="1856" w:type="dxa"/>
            <w:gridSpan w:val="8"/>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rsidR="00AD7A86" w:rsidRPr="009D26F3" w:rsidRDefault="00B867F7" w:rsidP="00F305B6">
            <w:pPr>
              <w:rPr>
                <w:sz w:val="24"/>
                <w:szCs w:val="24"/>
              </w:rPr>
            </w:pPr>
            <w:r>
              <w:rPr>
                <w:sz w:val="24"/>
                <w:szCs w:val="24"/>
              </w:rPr>
              <w:t>3</w:t>
            </w:r>
          </w:p>
        </w:tc>
        <w:tc>
          <w:tcPr>
            <w:tcW w:w="1716" w:type="dxa"/>
            <w:gridSpan w:val="5"/>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rsidR="00AD7A86" w:rsidRPr="009D26F3" w:rsidRDefault="00B867F7" w:rsidP="00F305B6">
            <w:pPr>
              <w:rPr>
                <w:sz w:val="24"/>
                <w:szCs w:val="24"/>
              </w:rPr>
            </w:pPr>
            <w:r>
              <w:rPr>
                <w:sz w:val="24"/>
                <w:szCs w:val="24"/>
              </w:rPr>
              <w:t>4</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5D1E3E" w:rsidRDefault="00B867F7" w:rsidP="00A475A4">
            <w:pPr>
              <w:spacing w:before="120" w:after="120"/>
              <w:rPr>
                <w:rFonts w:cs="Arial"/>
                <w:sz w:val="24"/>
                <w:szCs w:val="24"/>
              </w:rPr>
            </w:pPr>
            <w:r>
              <w:rPr>
                <w:rFonts w:cs="Arial"/>
                <w:sz w:val="24"/>
                <w:szCs w:val="24"/>
              </w:rPr>
              <w:t>Equality and Diversity Training has been delivered to all staff.</w:t>
            </w:r>
          </w:p>
          <w:p w:rsidR="00B867F7" w:rsidRDefault="00B867F7" w:rsidP="00A475A4">
            <w:pPr>
              <w:spacing w:before="120" w:after="120"/>
              <w:rPr>
                <w:rFonts w:cs="Arial"/>
                <w:sz w:val="24"/>
                <w:szCs w:val="24"/>
              </w:rPr>
            </w:pPr>
            <w:r>
              <w:rPr>
                <w:rFonts w:cs="Arial"/>
                <w:sz w:val="24"/>
                <w:szCs w:val="24"/>
              </w:rPr>
              <w:t>The monitoring of under-representation remains ongoing and welcome statements used when appropriate.  Review of this year’s fair employment monitoring return has been completed and further review of these returns and the next Article 55 review are scheduled.  Continuous community engagement is ongoing.</w:t>
            </w:r>
          </w:p>
          <w:p w:rsidR="00B867F7" w:rsidRPr="009D26F3" w:rsidRDefault="00B867F7" w:rsidP="00A475A4">
            <w:pPr>
              <w:spacing w:before="120" w:after="120"/>
              <w:rPr>
                <w:rFonts w:cs="Arial"/>
                <w:sz w:val="24"/>
                <w:szCs w:val="24"/>
              </w:rPr>
            </w:pPr>
            <w:r>
              <w:rPr>
                <w:rFonts w:cs="Arial"/>
                <w:sz w:val="24"/>
                <w:szCs w:val="24"/>
              </w:rPr>
              <w:t>Areas to be addressed are those in relation to quantitative evidence from statistical reports on the results of customer satisfaction surveys, the cascading of equality objectives via performance measures and the next staff attitude survey.</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rsidR="00AD7A86" w:rsidRPr="009D26F3" w:rsidRDefault="00AD7A86" w:rsidP="001B1713">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5F0525">
              <w:rPr>
                <w:rFonts w:cs="Arial"/>
                <w:sz w:val="24"/>
                <w:szCs w:val="24"/>
              </w:rPr>
              <w:t>2017-18</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tcPr>
          <w:p w:rsidR="006E47C9" w:rsidRPr="009D26F3" w:rsidRDefault="00566723" w:rsidP="0034389E">
            <w:pPr>
              <w:spacing w:before="120" w:after="120"/>
              <w:rPr>
                <w:rFonts w:cs="Arial"/>
                <w:sz w:val="24"/>
                <w:szCs w:val="24"/>
              </w:rPr>
            </w:pPr>
            <w:r>
              <w:rPr>
                <w:rFonts w:cs="Arial"/>
                <w:sz w:val="24"/>
                <w:szCs w:val="24"/>
              </w:rPr>
              <w:t>No – this is the first year of the action plan.</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rsidR="00AD7A86" w:rsidRPr="009D26F3" w:rsidRDefault="00AD7A86" w:rsidP="001B1713">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5F0525">
              <w:rPr>
                <w:rFonts w:cs="Arial"/>
                <w:sz w:val="24"/>
                <w:szCs w:val="24"/>
              </w:rPr>
              <w:t>2017-18</w:t>
            </w:r>
            <w:r w:rsidR="000D0A70">
              <w:rPr>
                <w:rFonts w:cs="Arial"/>
                <w:sz w:val="24"/>
                <w:szCs w:val="24"/>
              </w:rPr>
              <w:t xml:space="preserve">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rsidTr="000B7756">
        <w:trPr>
          <w:trHeight w:val="149"/>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56672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D41D2" w:rsidRPr="00414698" w:rsidRDefault="00AD7A86" w:rsidP="00A475A4">
            <w:pPr>
              <w:spacing w:before="120" w:after="120"/>
              <w:rPr>
                <w:rFonts w:cs="Arial"/>
                <w:b/>
                <w:sz w:val="24"/>
                <w:szCs w:val="24"/>
              </w:rPr>
            </w:pPr>
            <w:r w:rsidRPr="009D26F3">
              <w:rPr>
                <w:rFonts w:cs="Arial"/>
                <w:b/>
                <w:sz w:val="24"/>
                <w:szCs w:val="24"/>
              </w:rPr>
              <w:lastRenderedPageBreak/>
              <w:t>Arrangements for consulting (Model Equality Scheme Chapter 3)</w:t>
            </w:r>
          </w:p>
        </w:tc>
      </w:tr>
      <w:tr w:rsidR="00AD7A86" w:rsidRPr="009D26F3" w:rsidTr="000B7756">
        <w:tc>
          <w:tcPr>
            <w:tcW w:w="608" w:type="dxa"/>
          </w:tcPr>
          <w:p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6" w:type="dxa"/>
            <w:gridSpan w:val="4"/>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968" w:type="dxa"/>
            <w:gridSpan w:val="9"/>
            <w:vAlign w:val="center"/>
          </w:tcPr>
          <w:p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rsidR="00AD7A86" w:rsidRPr="009D26F3" w:rsidRDefault="00566723"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2224" w:type="dxa"/>
            <w:gridSpan w:val="8"/>
            <w:vAlign w:val="center"/>
          </w:tcPr>
          <w:p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2054" w:type="dxa"/>
            <w:gridSpan w:val="3"/>
            <w:vAlign w:val="center"/>
          </w:tcPr>
          <w:p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rsidR="00AD7A86" w:rsidRPr="009D26F3" w:rsidRDefault="00AD7A86" w:rsidP="00943386">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5F0525">
              <w:rPr>
                <w:rFonts w:cs="Arial"/>
                <w:sz w:val="24"/>
                <w:szCs w:val="24"/>
              </w:rPr>
              <w:t>2017-18</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rsidTr="000B7756">
        <w:tc>
          <w:tcPr>
            <w:tcW w:w="608" w:type="dxa"/>
          </w:tcPr>
          <w:p w:rsidR="00F25F10" w:rsidRPr="00614A9E" w:rsidRDefault="00F25F10" w:rsidP="00A475A4">
            <w:pPr>
              <w:spacing w:before="120" w:after="120"/>
              <w:rPr>
                <w:rFonts w:cs="Arial"/>
                <w:b/>
                <w:sz w:val="24"/>
                <w:szCs w:val="24"/>
                <w:highlight w:val="yellow"/>
              </w:rPr>
            </w:pPr>
          </w:p>
        </w:tc>
        <w:tc>
          <w:tcPr>
            <w:tcW w:w="9037" w:type="dxa"/>
            <w:gridSpan w:val="31"/>
            <w:vAlign w:val="center"/>
          </w:tcPr>
          <w:p w:rsidR="00635290" w:rsidRPr="009D26F3" w:rsidRDefault="00566723" w:rsidP="0034389E">
            <w:pPr>
              <w:spacing w:before="120" w:after="120"/>
              <w:rPr>
                <w:rFonts w:cs="Arial"/>
                <w:sz w:val="24"/>
                <w:szCs w:val="24"/>
              </w:rPr>
            </w:pPr>
            <w:r>
              <w:rPr>
                <w:rFonts w:cs="Arial"/>
                <w:sz w:val="24"/>
                <w:szCs w:val="24"/>
              </w:rPr>
              <w:t>Ongoing internal policy review and consultation with Trade Unions.</w:t>
            </w:r>
          </w:p>
        </w:tc>
      </w:tr>
      <w:tr w:rsidR="00143990" w:rsidRPr="009D26F3" w:rsidTr="000B7756">
        <w:tc>
          <w:tcPr>
            <w:tcW w:w="608" w:type="dxa"/>
          </w:tcPr>
          <w:p w:rsidR="00143990" w:rsidRPr="00614A9E" w:rsidRDefault="00143990" w:rsidP="00635290">
            <w:pPr>
              <w:rPr>
                <w:rFonts w:cs="Arial"/>
                <w:b/>
                <w:sz w:val="24"/>
                <w:szCs w:val="24"/>
                <w:highlight w:val="yellow"/>
              </w:rPr>
            </w:pPr>
          </w:p>
        </w:tc>
        <w:tc>
          <w:tcPr>
            <w:tcW w:w="9037" w:type="dxa"/>
            <w:gridSpan w:val="31"/>
            <w:vAlign w:val="center"/>
          </w:tcPr>
          <w:p w:rsidR="00143990" w:rsidRPr="009D26F3" w:rsidRDefault="00143990"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rsidR="00AD7A86" w:rsidRPr="009D26F3" w:rsidRDefault="00143990" w:rsidP="00943386">
            <w:pPr>
              <w:spacing w:before="120" w:after="120"/>
              <w:rPr>
                <w:rFonts w:cs="Arial"/>
                <w:sz w:val="24"/>
                <w:szCs w:val="24"/>
              </w:rPr>
            </w:pPr>
            <w:r w:rsidRPr="009D26F3">
              <w:rPr>
                <w:rFonts w:cs="Arial"/>
                <w:sz w:val="24"/>
                <w:szCs w:val="24"/>
              </w:rPr>
              <w:t xml:space="preserve">In the </w:t>
            </w:r>
            <w:r w:rsidR="005F0525">
              <w:rPr>
                <w:rFonts w:cs="Arial"/>
                <w:sz w:val="24"/>
                <w:szCs w:val="24"/>
              </w:rPr>
              <w:t>2017-18</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rsidTr="000B7756">
        <w:trPr>
          <w:trHeight w:val="116"/>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56672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56672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EC3840" w:rsidRPr="009D26F3">
              <w:rPr>
                <w:rFonts w:cs="Arial"/>
                <w:sz w:val="24"/>
                <w:szCs w:val="24"/>
              </w:rPr>
              <w:fldChar w:fldCharType="begin">
                <w:ffData>
                  <w:name w:val="Text7"/>
                  <w:enabled/>
                  <w:calcOnExit w:val="0"/>
                  <w:textInput/>
                </w:ffData>
              </w:fldChar>
            </w:r>
            <w:bookmarkStart w:id="7" w:name="Text7"/>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EC3840" w:rsidRPr="009D26F3">
              <w:rPr>
                <w:rFonts w:cs="Arial"/>
                <w:sz w:val="24"/>
                <w:szCs w:val="24"/>
              </w:rPr>
              <w:fldChar w:fldCharType="end"/>
            </w:r>
            <w:bookmarkEnd w:id="7"/>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925059" w:rsidRPr="009D26F3" w:rsidRDefault="00EC3840" w:rsidP="0034389E">
            <w:pPr>
              <w:spacing w:before="120" w:after="120"/>
              <w:rPr>
                <w:rFonts w:cs="Arial"/>
                <w:sz w:val="24"/>
                <w:szCs w:val="24"/>
              </w:rPr>
            </w:pPr>
            <w:r w:rsidRPr="009D26F3">
              <w:rPr>
                <w:rFonts w:cs="Arial"/>
                <w:sz w:val="24"/>
                <w:szCs w:val="24"/>
              </w:rPr>
              <w:fldChar w:fldCharType="begin">
                <w:ffData>
                  <w:name w:val="Text26"/>
                  <w:enabled/>
                  <w:calcOnExit w:val="0"/>
                  <w:textInput/>
                </w:ffData>
              </w:fldChar>
            </w:r>
            <w:bookmarkStart w:id="8" w:name="Text26"/>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8"/>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rsidR="00AD7A86" w:rsidRPr="009D26F3" w:rsidRDefault="00925059" w:rsidP="0092505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5F0525">
              <w:rPr>
                <w:rFonts w:cs="Arial"/>
                <w:sz w:val="24"/>
                <w:szCs w:val="24"/>
              </w:rPr>
              <w:t>2017-18</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209" w:type="dxa"/>
            <w:gridSpan w:val="5"/>
          </w:tcPr>
          <w:p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rsidR="00AD7A86" w:rsidRPr="009D26F3" w:rsidRDefault="0056672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164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408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rsidTr="000B7756">
        <w:tc>
          <w:tcPr>
            <w:tcW w:w="608" w:type="dxa"/>
          </w:tcPr>
          <w:p w:rsidR="00F25F10" w:rsidRDefault="00F25F10" w:rsidP="00A475A4">
            <w:pPr>
              <w:spacing w:before="120" w:after="120"/>
              <w:rPr>
                <w:rFonts w:cs="Arial"/>
                <w:b/>
                <w:sz w:val="24"/>
                <w:szCs w:val="24"/>
              </w:rPr>
            </w:pPr>
          </w:p>
        </w:tc>
        <w:tc>
          <w:tcPr>
            <w:tcW w:w="9037" w:type="dxa"/>
            <w:gridSpan w:val="31"/>
            <w:vAlign w:val="center"/>
          </w:tcPr>
          <w:p w:rsidR="00925059" w:rsidRPr="009D26F3" w:rsidRDefault="00EC3840" w:rsidP="0034389E">
            <w:pPr>
              <w:spacing w:before="120" w:after="120"/>
              <w:rPr>
                <w:rFonts w:cs="Arial"/>
                <w:sz w:val="24"/>
                <w:szCs w:val="24"/>
              </w:rPr>
            </w:pPr>
            <w:r w:rsidRPr="009D26F3">
              <w:rPr>
                <w:rFonts w:cs="Arial"/>
                <w:sz w:val="24"/>
                <w:szCs w:val="24"/>
              </w:rPr>
              <w:fldChar w:fldCharType="begin">
                <w:ffData>
                  <w:name w:val="Text8"/>
                  <w:enabled/>
                  <w:calcOnExit w:val="0"/>
                  <w:textInput/>
                </w:ffData>
              </w:fldChar>
            </w:r>
            <w:bookmarkStart w:id="9" w:name="Text8"/>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9"/>
          </w:p>
        </w:tc>
      </w:tr>
      <w:tr w:rsidR="008E73FF" w:rsidRPr="009D26F3" w:rsidTr="000B7756">
        <w:tc>
          <w:tcPr>
            <w:tcW w:w="608" w:type="dxa"/>
          </w:tcPr>
          <w:p w:rsidR="008E73FF" w:rsidRDefault="008E73FF" w:rsidP="00635290">
            <w:pPr>
              <w:rPr>
                <w:rFonts w:cs="Arial"/>
                <w:b/>
                <w:sz w:val="24"/>
                <w:szCs w:val="24"/>
              </w:rPr>
            </w:pPr>
          </w:p>
        </w:tc>
        <w:tc>
          <w:tcPr>
            <w:tcW w:w="9037" w:type="dxa"/>
            <w:gridSpan w:val="31"/>
            <w:vAlign w:val="center"/>
          </w:tcPr>
          <w:p w:rsidR="008E73FF" w:rsidRPr="009D26F3" w:rsidRDefault="008E73FF"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rsidR="00AD7A86" w:rsidRPr="009D26F3" w:rsidRDefault="00925059" w:rsidP="008E73FF">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5F0525">
              <w:rPr>
                <w:rFonts w:cs="Arial"/>
                <w:sz w:val="24"/>
                <w:szCs w:val="24"/>
              </w:rPr>
              <w:t>2017-18</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264" w:type="dxa"/>
            <w:gridSpan w:val="6"/>
          </w:tcPr>
          <w:p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rsidR="00AD7A86" w:rsidRPr="009D26F3" w:rsidRDefault="00566723"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746" w:type="dxa"/>
            <w:gridSpan w:val="4"/>
          </w:tcPr>
          <w:p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4835" w:type="dxa"/>
            <w:gridSpan w:val="12"/>
          </w:tcPr>
          <w:p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D96F15" w:rsidRDefault="00D96F15" w:rsidP="00F74617">
            <w:pPr>
              <w:spacing w:before="120" w:after="120"/>
              <w:rPr>
                <w:rFonts w:cs="Arial"/>
                <w:b/>
                <w:sz w:val="24"/>
                <w:szCs w:val="24"/>
              </w:rPr>
            </w:pPr>
          </w:p>
          <w:p w:rsidR="00D96F15" w:rsidRDefault="00D96F15" w:rsidP="00F74617">
            <w:pPr>
              <w:spacing w:before="120" w:after="120"/>
              <w:rPr>
                <w:rFonts w:cs="Arial"/>
                <w:b/>
                <w:sz w:val="24"/>
                <w:szCs w:val="24"/>
              </w:rPr>
            </w:pPr>
          </w:p>
          <w:p w:rsidR="00AD7A86" w:rsidRDefault="00AD7A86" w:rsidP="00F74617">
            <w:pPr>
              <w:spacing w:before="120" w:after="120"/>
              <w:rPr>
                <w:rFonts w:cs="Arial"/>
                <w:b/>
                <w:sz w:val="24"/>
                <w:szCs w:val="24"/>
              </w:rPr>
            </w:pPr>
            <w:r w:rsidRPr="009D26F3">
              <w:rPr>
                <w:rFonts w:cs="Arial"/>
                <w:b/>
                <w:sz w:val="24"/>
                <w:szCs w:val="24"/>
              </w:rPr>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rsidR="00AD7A86" w:rsidRPr="009D26F3" w:rsidRDefault="0058539B" w:rsidP="00B071CD">
            <w:pPr>
              <w:spacing w:before="120" w:after="120"/>
              <w:rPr>
                <w:rFonts w:cs="Arial"/>
                <w:sz w:val="24"/>
                <w:szCs w:val="24"/>
              </w:rPr>
            </w:pPr>
            <w:r>
              <w:rPr>
                <w:rFonts w:cs="Arial"/>
                <w:sz w:val="24"/>
                <w:szCs w:val="24"/>
              </w:rPr>
              <w:t>[</w:t>
            </w:r>
            <w:r w:rsidR="00EC3840" w:rsidRPr="001E0DA6">
              <w:rPr>
                <w:rFonts w:cs="Arial"/>
                <w:sz w:val="24"/>
                <w:szCs w:val="24"/>
              </w:rPr>
              <w:fldChar w:fldCharType="begin">
                <w:ffData>
                  <w:name w:val=""/>
                  <w:enabled/>
                  <w:calcOnExit w:val="0"/>
                  <w:textInput/>
                </w:ffData>
              </w:fldChar>
            </w:r>
            <w:r w:rsidR="00B071CD" w:rsidRPr="001E0DA6">
              <w:rPr>
                <w:rFonts w:cs="Arial"/>
                <w:sz w:val="24"/>
                <w:szCs w:val="24"/>
              </w:rPr>
              <w:instrText xml:space="preserve"> FORMTEXT </w:instrText>
            </w:r>
            <w:r w:rsidR="00EC3840" w:rsidRPr="001E0DA6">
              <w:rPr>
                <w:rFonts w:cs="Arial"/>
                <w:sz w:val="24"/>
                <w:szCs w:val="24"/>
              </w:rPr>
            </w:r>
            <w:r w:rsidR="00EC3840" w:rsidRPr="001E0DA6">
              <w:rPr>
                <w:rFonts w:cs="Arial"/>
                <w:sz w:val="24"/>
                <w:szCs w:val="24"/>
              </w:rPr>
              <w:fldChar w:fldCharType="separate"/>
            </w:r>
            <w:r w:rsidR="00B071CD">
              <w:rPr>
                <w:rFonts w:cs="Arial"/>
                <w:noProof/>
                <w:sz w:val="24"/>
                <w:szCs w:val="24"/>
              </w:rPr>
              <w:t>Insert link to any web pages where screening templates and/or other reports associated with Equality Scheme commitments are published</w:t>
            </w:r>
            <w:r w:rsidR="00EC3840" w:rsidRPr="001E0DA6">
              <w:rPr>
                <w:rFonts w:cs="Arial"/>
                <w:sz w:val="24"/>
                <w:szCs w:val="24"/>
              </w:rPr>
              <w:fldChar w:fldCharType="end"/>
            </w:r>
            <w:r>
              <w:rPr>
                <w:rFonts w:cs="Arial"/>
                <w:sz w:val="24"/>
                <w:szCs w:val="24"/>
              </w:rPr>
              <w:t xml:space="preserve">] </w:t>
            </w:r>
          </w:p>
        </w:tc>
      </w:tr>
      <w:tr w:rsidR="00121C30" w:rsidRPr="009D26F3" w:rsidTr="000B7756">
        <w:tc>
          <w:tcPr>
            <w:tcW w:w="608" w:type="dxa"/>
          </w:tcPr>
          <w:p w:rsidR="00121C30" w:rsidRDefault="00121C30" w:rsidP="00121C30">
            <w:pPr>
              <w:spacing w:before="120" w:after="120"/>
              <w:rPr>
                <w:rFonts w:cs="Arial"/>
                <w:b/>
                <w:sz w:val="24"/>
                <w:szCs w:val="24"/>
              </w:rPr>
            </w:pPr>
            <w:r>
              <w:rPr>
                <w:rFonts w:cs="Arial"/>
                <w:b/>
                <w:sz w:val="24"/>
                <w:szCs w:val="24"/>
              </w:rPr>
              <w:t>15</w:t>
            </w:r>
          </w:p>
          <w:p w:rsidR="00121C30" w:rsidRDefault="00121C30" w:rsidP="00A475A4">
            <w:pPr>
              <w:spacing w:before="120" w:after="120"/>
              <w:rPr>
                <w:rFonts w:cs="Arial"/>
                <w:b/>
                <w:sz w:val="24"/>
                <w:szCs w:val="24"/>
              </w:rPr>
            </w:pPr>
          </w:p>
        </w:tc>
        <w:tc>
          <w:tcPr>
            <w:tcW w:w="9037" w:type="dxa"/>
            <w:gridSpan w:val="31"/>
            <w:vAlign w:val="center"/>
          </w:tcPr>
          <w:p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rsidTr="000B7756">
        <w:trPr>
          <w:trHeight w:val="741"/>
        </w:trPr>
        <w:tc>
          <w:tcPr>
            <w:tcW w:w="608" w:type="dxa"/>
            <w:tcBorders>
              <w:right w:val="single" w:sz="4" w:space="0" w:color="auto"/>
            </w:tcBorders>
          </w:tcPr>
          <w:p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rsidR="000B7756" w:rsidRDefault="00566723" w:rsidP="000B7756">
            <w:pPr>
              <w:spacing w:before="120" w:after="120"/>
              <w:rPr>
                <w:rFonts w:cs="Arial"/>
                <w:sz w:val="24"/>
                <w:szCs w:val="24"/>
              </w:rPr>
            </w:pPr>
            <w:r>
              <w:rPr>
                <w:rFonts w:cs="Arial"/>
                <w:sz w:val="24"/>
                <w:szCs w:val="24"/>
              </w:rPr>
              <w:t>8</w:t>
            </w:r>
          </w:p>
        </w:tc>
        <w:tc>
          <w:tcPr>
            <w:tcW w:w="7913" w:type="dxa"/>
            <w:gridSpan w:val="26"/>
            <w:tcBorders>
              <w:left w:val="single" w:sz="4" w:space="0" w:color="auto"/>
            </w:tcBorders>
            <w:vAlign w:val="center"/>
          </w:tcPr>
          <w:p w:rsidR="000B7756" w:rsidRDefault="000B7756" w:rsidP="000B7756">
            <w:pPr>
              <w:spacing w:before="120" w:after="120"/>
              <w:rPr>
                <w:rFonts w:cs="Arial"/>
                <w:sz w:val="24"/>
                <w:szCs w:val="24"/>
              </w:rPr>
            </w:pP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0A6753" w:rsidRDefault="000A6753" w:rsidP="00C129B8">
            <w:pPr>
              <w:rPr>
                <w:rFonts w:cs="Arial"/>
                <w:sz w:val="24"/>
                <w:szCs w:val="24"/>
              </w:rPr>
            </w:pPr>
          </w:p>
        </w:tc>
      </w:tr>
      <w:tr w:rsidR="00121C30" w:rsidRPr="009D26F3" w:rsidTr="000B7756">
        <w:tc>
          <w:tcPr>
            <w:tcW w:w="608" w:type="dxa"/>
          </w:tcPr>
          <w:p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rsidR="00121C30" w:rsidRDefault="00121C30" w:rsidP="00A445C4">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5F0525">
              <w:rPr>
                <w:rFonts w:cs="Arial"/>
                <w:sz w:val="24"/>
                <w:szCs w:val="24"/>
              </w:rPr>
              <w:t>2017-18</w:t>
            </w:r>
            <w:r>
              <w:rPr>
                <w:rFonts w:cs="Arial"/>
                <w:sz w:val="24"/>
                <w:szCs w:val="24"/>
              </w:rPr>
              <w:t>:</w:t>
            </w:r>
          </w:p>
        </w:tc>
      </w:tr>
      <w:tr w:rsidR="000B7756" w:rsidRPr="009D26F3" w:rsidTr="000B7756">
        <w:trPr>
          <w:trHeight w:val="826"/>
        </w:trPr>
        <w:tc>
          <w:tcPr>
            <w:tcW w:w="608" w:type="dxa"/>
            <w:vMerge w:val="restart"/>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566723"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566723"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566723"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6E47C9" w:rsidRDefault="006E47C9" w:rsidP="00C129B8">
            <w:pPr>
              <w:rPr>
                <w:rFonts w:cs="Arial"/>
                <w:sz w:val="24"/>
                <w:szCs w:val="24"/>
              </w:rPr>
            </w:pPr>
          </w:p>
        </w:tc>
      </w:tr>
      <w:tr w:rsidR="000A6753" w:rsidRPr="009D26F3" w:rsidTr="000B7756">
        <w:tc>
          <w:tcPr>
            <w:tcW w:w="608" w:type="dxa"/>
          </w:tcPr>
          <w:p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rsidTr="000B7756">
        <w:tc>
          <w:tcPr>
            <w:tcW w:w="608" w:type="dxa"/>
          </w:tcPr>
          <w:p w:rsidR="00F25F10" w:rsidRPr="009D26F3" w:rsidRDefault="00F25F10" w:rsidP="00C31779">
            <w:pPr>
              <w:spacing w:before="120" w:after="120"/>
              <w:rPr>
                <w:rFonts w:cs="Arial"/>
                <w:b/>
                <w:sz w:val="24"/>
                <w:szCs w:val="24"/>
              </w:rPr>
            </w:pPr>
          </w:p>
        </w:tc>
        <w:tc>
          <w:tcPr>
            <w:tcW w:w="9037" w:type="dxa"/>
            <w:gridSpan w:val="31"/>
            <w:vAlign w:val="center"/>
          </w:tcPr>
          <w:p w:rsidR="00F25F10" w:rsidRPr="009D26F3" w:rsidRDefault="00566723" w:rsidP="0034389E">
            <w:pPr>
              <w:spacing w:before="120" w:after="120"/>
              <w:rPr>
                <w:rFonts w:cs="Arial"/>
                <w:sz w:val="24"/>
                <w:szCs w:val="24"/>
              </w:rPr>
            </w:pPr>
            <w:r>
              <w:rPr>
                <w:rFonts w:cs="Arial"/>
                <w:sz w:val="24"/>
                <w:szCs w:val="24"/>
              </w:rPr>
              <w:t>N/A</w:t>
            </w:r>
          </w:p>
        </w:tc>
      </w:tr>
      <w:tr w:rsidR="000A6753" w:rsidRPr="009D26F3" w:rsidTr="000B7756">
        <w:tc>
          <w:tcPr>
            <w:tcW w:w="608" w:type="dxa"/>
          </w:tcPr>
          <w:p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560" w:type="dxa"/>
            <w:gridSpan w:val="8"/>
          </w:tcPr>
          <w:p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2075" w:type="dxa"/>
            <w:gridSpan w:val="9"/>
          </w:tcPr>
          <w:p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153" w:type="dxa"/>
            <w:gridSpan w:val="3"/>
          </w:tcPr>
          <w:p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rsidR="000A6753" w:rsidRPr="009D26F3" w:rsidRDefault="00566723"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1480" w:type="dxa"/>
            <w:gridSpan w:val="2"/>
          </w:tcPr>
          <w:p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C31779">
            <w:pPr>
              <w:spacing w:before="120" w:after="120"/>
              <w:rPr>
                <w:rFonts w:cs="Arial"/>
                <w:b/>
                <w:sz w:val="24"/>
                <w:szCs w:val="24"/>
              </w:rPr>
            </w:pPr>
          </w:p>
        </w:tc>
        <w:tc>
          <w:tcPr>
            <w:tcW w:w="9037" w:type="dxa"/>
            <w:gridSpan w:val="31"/>
            <w:vAlign w:val="center"/>
          </w:tcPr>
          <w:p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10"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10"/>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lastRenderedPageBreak/>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5F0525">
              <w:rPr>
                <w:rFonts w:cs="Arial"/>
                <w:sz w:val="24"/>
                <w:szCs w:val="24"/>
              </w:rPr>
              <w:t>2017-18</w:t>
            </w:r>
            <w:r w:rsidRPr="009D26F3">
              <w:rPr>
                <w:rFonts w:cs="Arial"/>
                <w:sz w:val="24"/>
                <w:szCs w:val="24"/>
              </w:rPr>
              <w:t xml:space="preserve"> reporting period?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448" w:type="dxa"/>
            <w:gridSpan w:val="5"/>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rsidR="000A6753" w:rsidRPr="009D26F3" w:rsidRDefault="0056672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F25F10">
            <w:pPr>
              <w:spacing w:before="120" w:after="120"/>
              <w:rPr>
                <w:rFonts w:cs="Arial"/>
                <w:b/>
                <w:sz w:val="24"/>
                <w:szCs w:val="24"/>
              </w:rPr>
            </w:pPr>
          </w:p>
        </w:tc>
        <w:tc>
          <w:tcPr>
            <w:tcW w:w="9037" w:type="dxa"/>
            <w:gridSpan w:val="31"/>
          </w:tcPr>
          <w:p w:rsidR="00C129B8" w:rsidRPr="009D26F3" w:rsidRDefault="00EC3840"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rsidR="000A6753" w:rsidRPr="009D26F3" w:rsidRDefault="00925059" w:rsidP="00925059">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5F0525">
              <w:rPr>
                <w:rFonts w:cs="Arial"/>
                <w:sz w:val="24"/>
                <w:szCs w:val="24"/>
              </w:rPr>
              <w:t>2017-18</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rsidTr="000B7756">
        <w:trPr>
          <w:trHeight w:val="381"/>
        </w:trPr>
        <w:tc>
          <w:tcPr>
            <w:tcW w:w="608" w:type="dxa"/>
            <w:vMerge w:val="restart"/>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rsidR="000A6753" w:rsidRPr="009D26F3" w:rsidRDefault="0056672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rsidTr="000B7756">
        <w:trPr>
          <w:trHeight w:val="381"/>
        </w:trPr>
        <w:tc>
          <w:tcPr>
            <w:tcW w:w="608" w:type="dxa"/>
            <w:vMerge/>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56672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566723" w:rsidP="00566723">
            <w:pPr>
              <w:spacing w:before="120" w:after="120"/>
              <w:rPr>
                <w:rFonts w:cs="Arial"/>
                <w:sz w:val="24"/>
                <w:szCs w:val="24"/>
              </w:rPr>
            </w:pPr>
            <w:r>
              <w:rPr>
                <w:rFonts w:cs="Arial"/>
                <w:sz w:val="24"/>
                <w:szCs w:val="24"/>
              </w:rPr>
              <w:t>Due to take place during incoming period.</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608" w:type="dxa"/>
          </w:tcPr>
          <w:p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1978" w:type="dxa"/>
            <w:gridSpan w:val="9"/>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rsidR="000A6753" w:rsidRPr="009D26F3" w:rsidRDefault="00566723"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EC3840"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rsidR="000A6753" w:rsidRPr="009D26F3" w:rsidRDefault="00F5227C" w:rsidP="00925059">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5F0525">
              <w:rPr>
                <w:rFonts w:cs="Arial"/>
                <w:sz w:val="24"/>
                <w:szCs w:val="24"/>
              </w:rPr>
              <w:t>2017-18</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p>
        </w:tc>
        <w:tc>
          <w:tcPr>
            <w:tcW w:w="9037" w:type="dxa"/>
            <w:gridSpan w:val="31"/>
          </w:tcPr>
          <w:p w:rsidR="006E47C9" w:rsidRPr="00066A78" w:rsidRDefault="00566723" w:rsidP="0034389E">
            <w:pPr>
              <w:spacing w:before="120" w:after="120"/>
              <w:rPr>
                <w:rFonts w:cs="Arial"/>
                <w:sz w:val="24"/>
                <w:szCs w:val="24"/>
              </w:rPr>
            </w:pPr>
            <w:r>
              <w:rPr>
                <w:rFonts w:cs="Arial"/>
                <w:sz w:val="24"/>
                <w:szCs w:val="24"/>
              </w:rPr>
              <w:t>N/A</w:t>
            </w:r>
          </w:p>
        </w:tc>
      </w:tr>
      <w:tr w:rsidR="00F25F10" w:rsidRPr="009D26F3" w:rsidTr="000B7756">
        <w:trPr>
          <w:trHeight w:val="381"/>
        </w:trPr>
        <w:tc>
          <w:tcPr>
            <w:tcW w:w="608" w:type="dxa"/>
          </w:tcPr>
          <w:p w:rsidR="00F25F10" w:rsidRDefault="00F25F10" w:rsidP="00C129B8">
            <w:pPr>
              <w:rPr>
                <w:rFonts w:cs="Arial"/>
                <w:b/>
                <w:sz w:val="24"/>
                <w:szCs w:val="24"/>
              </w:rPr>
            </w:pPr>
          </w:p>
        </w:tc>
        <w:tc>
          <w:tcPr>
            <w:tcW w:w="9037" w:type="dxa"/>
            <w:gridSpan w:val="31"/>
          </w:tcPr>
          <w:p w:rsidR="00F25F10" w:rsidRPr="00066A78" w:rsidRDefault="00F25F10" w:rsidP="00C129B8">
            <w:pPr>
              <w:rPr>
                <w:rFonts w:cs="Arial"/>
                <w:sz w:val="24"/>
                <w:szCs w:val="24"/>
              </w:rPr>
            </w:pP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r>
              <w:rPr>
                <w:rFonts w:cs="Arial"/>
                <w:b/>
                <w:sz w:val="24"/>
                <w:szCs w:val="24"/>
              </w:rPr>
              <w:t>23</w:t>
            </w:r>
          </w:p>
        </w:tc>
        <w:tc>
          <w:tcPr>
            <w:tcW w:w="9037" w:type="dxa"/>
            <w:gridSpan w:val="31"/>
          </w:tcPr>
          <w:p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F70E42" w:rsidRPr="009D26F3" w:rsidRDefault="00566723" w:rsidP="0034389E">
            <w:pPr>
              <w:spacing w:before="120" w:after="120"/>
              <w:rPr>
                <w:rFonts w:cs="Arial"/>
                <w:sz w:val="24"/>
                <w:szCs w:val="24"/>
              </w:rPr>
            </w:pPr>
            <w:r>
              <w:rPr>
                <w:rFonts w:cs="Arial"/>
                <w:sz w:val="24"/>
                <w:szCs w:val="24"/>
              </w:rPr>
              <w:t>N/A</w:t>
            </w:r>
          </w:p>
        </w:tc>
      </w:tr>
      <w:tr w:rsidR="000A6753" w:rsidRPr="009D26F3" w:rsidTr="000B7756">
        <w:trPr>
          <w:trHeight w:val="381"/>
        </w:trPr>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rsidTr="000B7756">
        <w:tc>
          <w:tcPr>
            <w:tcW w:w="608" w:type="dxa"/>
          </w:tcPr>
          <w:p w:rsidR="000A6753" w:rsidRPr="009D26F3" w:rsidRDefault="000A6753" w:rsidP="00F87238">
            <w:pPr>
              <w:spacing w:before="120" w:after="120"/>
              <w:rPr>
                <w:rFonts w:cs="Arial"/>
                <w:b/>
                <w:sz w:val="24"/>
                <w:szCs w:val="24"/>
              </w:rPr>
            </w:pPr>
            <w:r w:rsidRPr="009D26F3">
              <w:rPr>
                <w:rFonts w:cs="Arial"/>
                <w:b/>
                <w:sz w:val="24"/>
                <w:szCs w:val="24"/>
              </w:rPr>
              <w:t>2</w:t>
            </w:r>
            <w:r w:rsidR="00F87238">
              <w:rPr>
                <w:rFonts w:cs="Arial"/>
                <w:b/>
                <w:sz w:val="24"/>
                <w:szCs w:val="24"/>
              </w:rPr>
              <w:t>4</w:t>
            </w:r>
          </w:p>
        </w:tc>
        <w:tc>
          <w:tcPr>
            <w:tcW w:w="9037" w:type="dxa"/>
            <w:gridSpan w:val="31"/>
            <w:vAlign w:val="center"/>
          </w:tcPr>
          <w:p w:rsidR="000A6753" w:rsidRPr="009D26F3" w:rsidRDefault="000A6753" w:rsidP="00F70E42">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5F0525">
              <w:rPr>
                <w:rFonts w:cs="Arial"/>
                <w:sz w:val="24"/>
                <w:szCs w:val="24"/>
              </w:rPr>
              <w:t>2017-18</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Pr="009D26F3" w:rsidRDefault="00566723" w:rsidP="0034389E">
            <w:pPr>
              <w:spacing w:before="120" w:after="120"/>
              <w:rPr>
                <w:rFonts w:cs="Arial"/>
                <w:sz w:val="24"/>
                <w:szCs w:val="24"/>
              </w:rPr>
            </w:pPr>
            <w:r>
              <w:rPr>
                <w:rFonts w:cs="Arial"/>
                <w:sz w:val="24"/>
                <w:szCs w:val="24"/>
              </w:rPr>
              <w:t>A training programme entitled ‘what diversity mean to me’ was delivered to all staff and met the requirements of the training objectives.</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rsidR="000A6753" w:rsidRPr="009D26F3" w:rsidRDefault="000A6753" w:rsidP="007D726A">
            <w:pPr>
              <w:spacing w:before="120" w:after="120"/>
              <w:rPr>
                <w:rFonts w:cs="Arial"/>
                <w:sz w:val="24"/>
                <w:szCs w:val="24"/>
              </w:rPr>
            </w:pPr>
            <w:r w:rsidRPr="009D26F3">
              <w:rPr>
                <w:rFonts w:cs="Arial"/>
                <w:sz w:val="24"/>
                <w:szCs w:val="24"/>
              </w:rPr>
              <w:t xml:space="preserve">Please provide any examples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Default="00566723" w:rsidP="0034389E">
            <w:pPr>
              <w:spacing w:before="120" w:after="120"/>
              <w:rPr>
                <w:rFonts w:cs="Arial"/>
                <w:sz w:val="24"/>
                <w:szCs w:val="24"/>
              </w:rPr>
            </w:pPr>
            <w:r>
              <w:rPr>
                <w:rFonts w:cs="Arial"/>
                <w:sz w:val="24"/>
                <w:szCs w:val="24"/>
              </w:rPr>
              <w:t>The internal training programme delivered to all staff was well received and presented a clear outline of staff responsibilities in relation</w:t>
            </w:r>
            <w:r w:rsidR="00305325">
              <w:rPr>
                <w:rFonts w:cs="Arial"/>
                <w:sz w:val="24"/>
                <w:szCs w:val="24"/>
              </w:rPr>
              <w:t xml:space="preserve"> to</w:t>
            </w:r>
            <w:r>
              <w:rPr>
                <w:rFonts w:cs="Arial"/>
                <w:sz w:val="24"/>
                <w:szCs w:val="24"/>
              </w:rPr>
              <w:t xml:space="preserve"> Equality and related areas.  Evaluatio</w:t>
            </w:r>
            <w:r w:rsidR="00305325">
              <w:rPr>
                <w:rFonts w:cs="Arial"/>
                <w:sz w:val="24"/>
                <w:szCs w:val="24"/>
              </w:rPr>
              <w:t>n of this training was very positive</w:t>
            </w:r>
            <w:r>
              <w:rPr>
                <w:rFonts w:cs="Arial"/>
                <w:sz w:val="24"/>
                <w:szCs w:val="24"/>
              </w:rPr>
              <w:t>.</w:t>
            </w:r>
          </w:p>
          <w:p w:rsidR="00566723" w:rsidRPr="009D26F3" w:rsidRDefault="00566723" w:rsidP="0034389E">
            <w:pPr>
              <w:spacing w:before="120" w:after="120"/>
              <w:rPr>
                <w:rFonts w:cs="Arial"/>
                <w:sz w:val="24"/>
                <w:szCs w:val="24"/>
              </w:rPr>
            </w:pP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9645" w:type="dxa"/>
            <w:gridSpan w:val="32"/>
          </w:tcPr>
          <w:p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rsidR="000A6753" w:rsidRPr="009D26F3" w:rsidRDefault="000A6753" w:rsidP="00F70E42">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5F0525">
              <w:rPr>
                <w:rFonts w:cs="Arial"/>
                <w:sz w:val="24"/>
                <w:szCs w:val="24"/>
              </w:rPr>
              <w:t>2017-18</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tcPr>
          <w:p w:rsidR="00414698" w:rsidRPr="009D26F3" w:rsidRDefault="00566723" w:rsidP="00BD0781">
            <w:pPr>
              <w:spacing w:before="120" w:after="120"/>
              <w:rPr>
                <w:rFonts w:cs="Arial"/>
                <w:sz w:val="24"/>
                <w:szCs w:val="24"/>
              </w:rPr>
            </w:pPr>
            <w:r>
              <w:rPr>
                <w:rFonts w:cs="Arial"/>
                <w:sz w:val="24"/>
                <w:szCs w:val="24"/>
              </w:rPr>
              <w:t>N/A</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rsidTr="000B7756">
        <w:tc>
          <w:tcPr>
            <w:tcW w:w="608" w:type="dxa"/>
          </w:tcPr>
          <w:p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rsidR="000A6753" w:rsidRPr="009D26F3" w:rsidRDefault="000A6753" w:rsidP="00F70E42">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5F0525">
              <w:rPr>
                <w:rFonts w:cs="Arial"/>
                <w:sz w:val="24"/>
                <w:szCs w:val="24"/>
              </w:rPr>
              <w:t>2017-18</w:t>
            </w:r>
            <w:r w:rsidRPr="009D26F3">
              <w:rPr>
                <w:rFonts w:cs="Arial"/>
                <w:sz w:val="24"/>
                <w:szCs w:val="24"/>
              </w:rPr>
              <w:t>?</w:t>
            </w:r>
          </w:p>
        </w:tc>
      </w:tr>
      <w:tr w:rsidR="000B7756" w:rsidRPr="009D26F3" w:rsidTr="000B7756">
        <w:trPr>
          <w:trHeight w:val="596"/>
        </w:trPr>
        <w:tc>
          <w:tcPr>
            <w:tcW w:w="608" w:type="dxa"/>
          </w:tcPr>
          <w:p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B7756" w:rsidRPr="009D26F3" w:rsidRDefault="00566723"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rsidR="000B7756" w:rsidRPr="009D26F3" w:rsidRDefault="000B7756" w:rsidP="00C10985">
            <w:pPr>
              <w:spacing w:before="120" w:after="120"/>
              <w:rPr>
                <w:rFonts w:cs="Arial"/>
                <w:sz w:val="24"/>
                <w:szCs w:val="24"/>
              </w:rPr>
            </w:pPr>
          </w:p>
        </w:tc>
      </w:tr>
      <w:tr w:rsidR="000B7756" w:rsidRPr="009D26F3" w:rsidTr="000B7756">
        <w:tc>
          <w:tcPr>
            <w:tcW w:w="608" w:type="dxa"/>
          </w:tcPr>
          <w:p w:rsidR="000B7756" w:rsidRPr="009D26F3" w:rsidRDefault="000B7756" w:rsidP="00A475A4">
            <w:pPr>
              <w:spacing w:before="120" w:after="120"/>
              <w:rPr>
                <w:rFonts w:cs="Arial"/>
                <w:b/>
                <w:sz w:val="24"/>
                <w:szCs w:val="24"/>
              </w:rPr>
            </w:pPr>
          </w:p>
        </w:tc>
        <w:tc>
          <w:tcPr>
            <w:tcW w:w="9037" w:type="dxa"/>
            <w:gridSpan w:val="31"/>
          </w:tcPr>
          <w:p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tcPr>
          <w:p w:rsidR="000A6753" w:rsidRPr="009D26F3" w:rsidRDefault="00566723" w:rsidP="00BD0781">
            <w:pPr>
              <w:spacing w:before="120" w:after="120"/>
              <w:rPr>
                <w:rFonts w:cs="Arial"/>
                <w:sz w:val="24"/>
                <w:szCs w:val="24"/>
              </w:rPr>
            </w:pPr>
            <w:r>
              <w:rPr>
                <w:rFonts w:cs="Arial"/>
                <w:sz w:val="24"/>
                <w:szCs w:val="24"/>
              </w:rPr>
              <w:t>N/A</w:t>
            </w:r>
          </w:p>
        </w:tc>
      </w:tr>
    </w:tbl>
    <w:p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9D26F3" w:rsidTr="00AD7A86">
        <w:tc>
          <w:tcPr>
            <w:tcW w:w="10165" w:type="dxa"/>
            <w:gridSpan w:val="3"/>
          </w:tcPr>
          <w:p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566723" w:rsidP="00BD0781">
            <w:pPr>
              <w:spacing w:before="120" w:after="120"/>
              <w:rPr>
                <w:rFonts w:cs="Arial"/>
                <w:sz w:val="24"/>
                <w:szCs w:val="24"/>
              </w:rPr>
            </w:pPr>
            <w:r>
              <w:rPr>
                <w:rFonts w:cs="Arial"/>
                <w:sz w:val="24"/>
                <w:szCs w:val="24"/>
              </w:rPr>
              <w:t>This is the first year of the scheme – due for review in 2022.</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lastRenderedPageBreak/>
              <w:t>29</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6651B7" w:rsidP="00BD0781">
            <w:pPr>
              <w:spacing w:before="120" w:after="120"/>
              <w:rPr>
                <w:rFonts w:cs="Arial"/>
                <w:sz w:val="24"/>
                <w:szCs w:val="24"/>
              </w:rPr>
            </w:pPr>
            <w:r>
              <w:rPr>
                <w:rFonts w:cs="Arial"/>
                <w:sz w:val="24"/>
                <w:szCs w:val="24"/>
              </w:rPr>
              <w:t>Focus on consultation as the disability action plan is due to be reviewed for the next 5 year period and also monitoring to allow an audit of existing information systems in line with the Equality Scheme</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2"/>
          </w:tcPr>
          <w:p w:rsidR="000A6753" w:rsidRPr="009D26F3" w:rsidRDefault="000A6753" w:rsidP="007D726A">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w:t>
            </w:r>
            <w:r w:rsidR="005F0525">
              <w:rPr>
                <w:rFonts w:cs="Arial"/>
                <w:sz w:val="24"/>
                <w:szCs w:val="24"/>
              </w:rPr>
              <w:t>2017-18</w:t>
            </w:r>
            <w:r w:rsidRPr="009D26F3">
              <w:rPr>
                <w:rFonts w:cs="Arial"/>
                <w:sz w:val="24"/>
                <w:szCs w:val="24"/>
              </w:rPr>
              <w:t xml:space="preserve">)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rsidTr="00AD7A86">
        <w:trPr>
          <w:trHeight w:val="154"/>
        </w:trPr>
        <w:tc>
          <w:tcPr>
            <w:tcW w:w="656" w:type="dxa"/>
            <w:vMerge w:val="restart"/>
          </w:tcPr>
          <w:p w:rsidR="000A6753" w:rsidRPr="009D26F3" w:rsidRDefault="000A6753" w:rsidP="00A475A4">
            <w:pPr>
              <w:spacing w:before="120" w:after="120"/>
              <w:rPr>
                <w:rFonts w:cs="Arial"/>
                <w:b/>
                <w:sz w:val="24"/>
                <w:szCs w:val="24"/>
              </w:rPr>
            </w:pPr>
          </w:p>
        </w:tc>
        <w:tc>
          <w:tcPr>
            <w:tcW w:w="839" w:type="dxa"/>
          </w:tcPr>
          <w:p w:rsidR="000A6753" w:rsidRPr="009D26F3" w:rsidRDefault="006651B7"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6651B7"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2C752A">
              <w:rPr>
                <w:rFonts w:cs="Arial"/>
                <w:sz w:val="24"/>
                <w:szCs w:val="24"/>
              </w:rPr>
            </w:r>
            <w:r w:rsidR="002C752A">
              <w:rPr>
                <w:rFonts w:cs="Arial"/>
                <w:sz w:val="24"/>
                <w:szCs w:val="24"/>
              </w:rPr>
              <w:fldChar w:fldCharType="separate"/>
            </w:r>
            <w:r w:rsidRPr="009D26F3">
              <w:rPr>
                <w:rFonts w:cs="Arial"/>
                <w:sz w:val="24"/>
                <w:szCs w:val="24"/>
              </w:rPr>
              <w:fldChar w:fldCharType="end"/>
            </w:r>
          </w:p>
        </w:tc>
        <w:tc>
          <w:tcPr>
            <w:tcW w:w="8670" w:type="dxa"/>
          </w:tcPr>
          <w:p w:rsidR="007D726A" w:rsidRDefault="000A6753" w:rsidP="00BD0781">
            <w:pPr>
              <w:spacing w:before="120" w:after="120"/>
              <w:rPr>
                <w:rFonts w:cs="Arial"/>
                <w:sz w:val="24"/>
                <w:szCs w:val="24"/>
              </w:rPr>
            </w:pPr>
            <w:r w:rsidRPr="009D26F3">
              <w:rPr>
                <w:rFonts w:cs="Arial"/>
                <w:sz w:val="24"/>
                <w:szCs w:val="24"/>
              </w:rPr>
              <w:t xml:space="preserve">Other (please state): </w:t>
            </w:r>
          </w:p>
          <w:p w:rsidR="000A6753" w:rsidRPr="009D26F3" w:rsidRDefault="00EC3840"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11" w:name="Text21"/>
            <w:r w:rsidR="000A6753"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Pr="009D26F3">
              <w:rPr>
                <w:rFonts w:cs="Arial"/>
                <w:sz w:val="24"/>
                <w:szCs w:val="24"/>
              </w:rPr>
              <w:fldChar w:fldCharType="end"/>
            </w:r>
            <w:bookmarkEnd w:id="11"/>
          </w:p>
        </w:tc>
      </w:tr>
    </w:tbl>
    <w:p w:rsidR="006E47C9" w:rsidRDefault="006E47C9" w:rsidP="00BA2078">
      <w:pPr>
        <w:rPr>
          <w:rFonts w:cs="Arial"/>
          <w:sz w:val="24"/>
          <w:szCs w:val="24"/>
        </w:rPr>
      </w:pPr>
    </w:p>
    <w:p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rsidR="0042023B" w:rsidRPr="00AD241C" w:rsidRDefault="0042023B" w:rsidP="0042023B">
      <w:pPr>
        <w:rPr>
          <w:b/>
          <w:sz w:val="28"/>
          <w:szCs w:val="28"/>
        </w:rPr>
      </w:pPr>
      <w:r w:rsidRPr="00AD241C">
        <w:rPr>
          <w:b/>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75"/>
        <w:gridCol w:w="1161"/>
        <w:gridCol w:w="1161"/>
        <w:gridCol w:w="1162"/>
        <w:gridCol w:w="1165"/>
        <w:gridCol w:w="1162"/>
        <w:gridCol w:w="1161"/>
        <w:gridCol w:w="1162"/>
        <w:gridCol w:w="1165"/>
        <w:gridCol w:w="1163"/>
        <w:gridCol w:w="1161"/>
        <w:gridCol w:w="1162"/>
      </w:tblGrid>
      <w:tr w:rsidR="00586EF7" w:rsidRPr="00AD241C" w:rsidTr="00AD241C">
        <w:tc>
          <w:tcPr>
            <w:tcW w:w="14176" w:type="dxa"/>
            <w:gridSpan w:val="12"/>
            <w:tcBorders>
              <w:left w:val="nil"/>
              <w:bottom w:val="nil"/>
              <w:right w:val="nil"/>
            </w:tcBorders>
          </w:tcPr>
          <w:p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rsidR="00586EF7" w:rsidRPr="00AD241C" w:rsidRDefault="00586EF7" w:rsidP="0042023B">
            <w:pPr>
              <w:rPr>
                <w:b/>
                <w:sz w:val="28"/>
                <w:szCs w:val="28"/>
              </w:rPr>
            </w:pPr>
          </w:p>
        </w:tc>
      </w:tr>
      <w:tr w:rsidR="00AD241C"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rsidR="00AD241C" w:rsidRPr="00AD241C" w:rsidRDefault="00EC3840" w:rsidP="00AD241C">
            <w:pPr>
              <w:jc w:val="center"/>
              <w:rPr>
                <w:b/>
                <w:sz w:val="28"/>
                <w:szCs w:val="28"/>
              </w:rPr>
            </w:pPr>
            <w:r>
              <w:rPr>
                <w:b/>
                <w:sz w:val="28"/>
                <w:szCs w:val="28"/>
              </w:rPr>
              <w:fldChar w:fldCharType="begin">
                <w:ffData>
                  <w:name w:val="Text36"/>
                  <w:enabled/>
                  <w:calcOnExit w:val="0"/>
                  <w:textInput>
                    <w:type w:val="number"/>
                  </w:textInput>
                </w:ffData>
              </w:fldChar>
            </w:r>
            <w:bookmarkStart w:id="12" w:name="Text36"/>
            <w:r w:rsidR="000B7756">
              <w:rPr>
                <w:b/>
                <w:sz w:val="28"/>
                <w:szCs w:val="28"/>
              </w:rPr>
              <w:instrText xml:space="preserve"> FORMTEXT </w:instrText>
            </w:r>
            <w:r>
              <w:rPr>
                <w:b/>
                <w:sz w:val="28"/>
                <w:szCs w:val="28"/>
              </w:rPr>
            </w:r>
            <w:r>
              <w:rPr>
                <w:b/>
                <w:sz w:val="28"/>
                <w:szCs w:val="28"/>
              </w:rPr>
              <w:fldChar w:fldCharType="separate"/>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Pr>
                <w:b/>
                <w:sz w:val="28"/>
                <w:szCs w:val="28"/>
              </w:rPr>
              <w:fldChar w:fldCharType="end"/>
            </w:r>
            <w:bookmarkEnd w:id="12"/>
          </w:p>
        </w:tc>
        <w:tc>
          <w:tcPr>
            <w:tcW w:w="1181" w:type="dxa"/>
            <w:tcBorders>
              <w:top w:val="nil"/>
              <w:left w:val="single" w:sz="12" w:space="0" w:color="92D05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rsidR="00AD241C" w:rsidRPr="00AD241C" w:rsidRDefault="00A6341D" w:rsidP="00AD241C">
            <w:pPr>
              <w:jc w:val="center"/>
              <w:rPr>
                <w:b/>
                <w:sz w:val="28"/>
                <w:szCs w:val="28"/>
              </w:rPr>
            </w:pPr>
            <w:r>
              <w:rPr>
                <w:b/>
                <w:sz w:val="28"/>
                <w:szCs w:val="28"/>
              </w:rPr>
              <w:t>2</w:t>
            </w:r>
          </w:p>
        </w:tc>
        <w:tc>
          <w:tcPr>
            <w:tcW w:w="1181" w:type="dxa"/>
            <w:tcBorders>
              <w:top w:val="nil"/>
              <w:left w:val="single" w:sz="12" w:space="0" w:color="FFC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rsidR="00AD241C" w:rsidRPr="00AD241C" w:rsidRDefault="00A6341D" w:rsidP="00AD241C">
            <w:pPr>
              <w:jc w:val="center"/>
              <w:rPr>
                <w:b/>
                <w:sz w:val="28"/>
                <w:szCs w:val="28"/>
              </w:rPr>
            </w:pPr>
            <w:r>
              <w:rPr>
                <w:b/>
                <w:sz w:val="28"/>
                <w:szCs w:val="28"/>
              </w:rPr>
              <w:t>2</w:t>
            </w:r>
          </w:p>
        </w:tc>
        <w:tc>
          <w:tcPr>
            <w:tcW w:w="1182" w:type="dxa"/>
            <w:tcBorders>
              <w:top w:val="nil"/>
              <w:left w:val="single" w:sz="12" w:space="0" w:color="FF0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nil"/>
            </w:tcBorders>
          </w:tcPr>
          <w:p w:rsidR="00AD241C" w:rsidRDefault="00AD241C" w:rsidP="0042023B">
            <w:pPr>
              <w:rPr>
                <w:rFonts w:ascii="Arial" w:hAnsi="Arial"/>
                <w:b/>
                <w:sz w:val="28"/>
                <w:szCs w:val="28"/>
              </w:rPr>
            </w:pPr>
          </w:p>
        </w:tc>
      </w:tr>
      <w:tr w:rsidR="00586EF7" w:rsidRPr="00586EF7" w:rsidTr="00AD241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Not achieved</w:t>
            </w:r>
          </w:p>
        </w:tc>
      </w:tr>
    </w:tbl>
    <w:p w:rsidR="00586EF7" w:rsidRDefault="00586EF7" w:rsidP="0042023B">
      <w:pPr>
        <w:rPr>
          <w:rFonts w:ascii="Arial" w:hAnsi="Arial"/>
          <w:b/>
          <w:sz w:val="28"/>
          <w:szCs w:val="28"/>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rsidR="0042023B"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p w:rsidR="001A5E43" w:rsidRPr="00AD241C" w:rsidRDefault="001A5E43" w:rsidP="0042023B">
      <w:pPr>
        <w:rPr>
          <w:sz w:val="24"/>
          <w:szCs w:val="24"/>
        </w:rPr>
      </w:pPr>
      <w:r>
        <w:rPr>
          <w:sz w:val="24"/>
          <w:szCs w:val="24"/>
        </w:rPr>
        <w:t>No actions identified in the Disability Action Plan as the Office does not have an advisory or consultative panel.</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w:instrText>
            </w:r>
            <w:bookmarkStart w:id="13" w:name="Text39"/>
            <w:r w:rsidR="00AD241C">
              <w:rPr>
                <w:sz w:val="24"/>
                <w:szCs w:val="24"/>
              </w:rPr>
              <w:instrText xml:space="preserve">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bookmarkEnd w:id="13"/>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 / Impact</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lastRenderedPageBreak/>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F62B04" w:rsidRDefault="00F62B04" w:rsidP="0042023B">
      <w:pPr>
        <w:rPr>
          <w:sz w:val="24"/>
          <w:szCs w:val="24"/>
        </w:rPr>
      </w:pPr>
    </w:p>
    <w:p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rPr>
                <w:sz w:val="24"/>
                <w:szCs w:val="24"/>
              </w:rPr>
            </w:pPr>
            <w:r w:rsidRPr="00AD241C">
              <w:rPr>
                <w:sz w:val="24"/>
                <w:szCs w:val="24"/>
              </w:rPr>
              <w:t xml:space="preserve">Outcomes / Impact </w:t>
            </w:r>
          </w:p>
          <w:p w:rsidR="0042023B" w:rsidRPr="00AD241C" w:rsidRDefault="0042023B" w:rsidP="00AD241C">
            <w:pPr>
              <w:spacing w:before="120"/>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84B78" w:rsidP="00484B78">
      <w:pPr>
        <w:tabs>
          <w:tab w:val="left" w:pos="5706"/>
        </w:tabs>
        <w:rPr>
          <w:sz w:val="24"/>
          <w:szCs w:val="24"/>
        </w:rPr>
      </w:pPr>
      <w:r w:rsidRPr="00AD241C">
        <w:rPr>
          <w:sz w:val="24"/>
          <w:szCs w:val="24"/>
        </w:rPr>
        <w:tab/>
      </w:r>
    </w:p>
    <w:p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Milestones</w:t>
            </w:r>
            <w:r w:rsidRPr="00AD241C">
              <w:endnoteReference w:id="6"/>
            </w:r>
            <w:r w:rsidRPr="00AD241C">
              <w:rPr>
                <w:sz w:val="24"/>
                <w:szCs w:val="24"/>
              </w:rPr>
              <w:t xml:space="preserve"> /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 not fully achieved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1A5E43" w:rsidP="00247FBC">
            <w:pPr>
              <w:spacing w:after="120" w:line="240" w:lineRule="auto"/>
              <w:rPr>
                <w:sz w:val="24"/>
                <w:szCs w:val="24"/>
              </w:rPr>
            </w:pPr>
            <w:r>
              <w:rPr>
                <w:sz w:val="24"/>
                <w:szCs w:val="24"/>
              </w:rPr>
              <w:t>We will monitor satisfaction levels from service users with disabilities and investigate where levels of satisfaction are below what might reasonably be expected.</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00C6" w:rsidP="00247FBC">
            <w:pPr>
              <w:spacing w:after="120" w:line="240" w:lineRule="auto"/>
              <w:rPr>
                <w:sz w:val="24"/>
                <w:szCs w:val="24"/>
              </w:rPr>
            </w:pPr>
            <w:r>
              <w:rPr>
                <w:sz w:val="24"/>
                <w:szCs w:val="24"/>
              </w:rPr>
              <w:t>To improve satisfaction levels from service users with a disability</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00C6" w:rsidP="00247FBC">
            <w:pPr>
              <w:spacing w:after="120" w:line="240" w:lineRule="auto"/>
              <w:rPr>
                <w:sz w:val="24"/>
                <w:szCs w:val="24"/>
              </w:rPr>
            </w:pPr>
            <w:r>
              <w:rPr>
                <w:sz w:val="24"/>
                <w:szCs w:val="24"/>
              </w:rPr>
              <w:t>Satisfaction levels continue to be monitored and there is an increase in respondents with a disability who thought their complaint was dealt with independently, although this was still less than those with no disability.</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00C6" w:rsidP="00247FBC">
            <w:pPr>
              <w:spacing w:after="120" w:line="240" w:lineRule="auto"/>
              <w:rPr>
                <w:sz w:val="24"/>
                <w:szCs w:val="24"/>
              </w:rPr>
            </w:pPr>
            <w:r>
              <w:rPr>
                <w:sz w:val="24"/>
                <w:szCs w:val="24"/>
              </w:rPr>
              <w:t>Monitoring information is provided with limited scope to explore underlying reasons.  This is one area of the action plan which is in its first year.</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6341D" w:rsidP="00247FBC">
            <w:pPr>
              <w:spacing w:after="120" w:line="240" w:lineRule="auto"/>
              <w:rPr>
                <w:sz w:val="24"/>
                <w:szCs w:val="24"/>
              </w:rPr>
            </w:pPr>
            <w:r>
              <w:rPr>
                <w:sz w:val="24"/>
                <w:szCs w:val="24"/>
              </w:rPr>
              <w:t>The Office will develop a checklist for frontline customer service staff to aid the detection of service users with learning disability to improve their customer experience</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0C00C6" w:rsidP="00247FBC">
            <w:pPr>
              <w:spacing w:after="120" w:line="240" w:lineRule="auto"/>
              <w:rPr>
                <w:sz w:val="24"/>
                <w:szCs w:val="24"/>
              </w:rPr>
            </w:pPr>
            <w:r>
              <w:rPr>
                <w:sz w:val="24"/>
                <w:szCs w:val="24"/>
              </w:rPr>
              <w:t>Improved satisfaction levels from service users with a disability.</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5321" w:rsidP="00247FBC">
            <w:pPr>
              <w:spacing w:after="120" w:line="240" w:lineRule="auto"/>
              <w:rPr>
                <w:sz w:val="24"/>
                <w:szCs w:val="24"/>
              </w:rPr>
            </w:pPr>
            <w:r>
              <w:rPr>
                <w:sz w:val="24"/>
                <w:szCs w:val="24"/>
              </w:rPr>
              <w:t xml:space="preserve">The Office has remained committed to focusing on mental health training for managers and liaising with various stakeholders </w:t>
            </w:r>
            <w:r>
              <w:rPr>
                <w:sz w:val="24"/>
                <w:szCs w:val="24"/>
              </w:rPr>
              <w:lastRenderedPageBreak/>
              <w:t>who come into contact with service users with learning difficulties.  This remains on the agenda.</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5321" w:rsidP="00247FBC">
            <w:pPr>
              <w:spacing w:after="120" w:line="240" w:lineRule="auto"/>
              <w:rPr>
                <w:sz w:val="24"/>
                <w:szCs w:val="24"/>
              </w:rPr>
            </w:pPr>
            <w:r>
              <w:rPr>
                <w:sz w:val="24"/>
                <w:szCs w:val="24"/>
              </w:rPr>
              <w:lastRenderedPageBreak/>
              <w:t xml:space="preserve">This has proved difficult to action due to the complexities of the nature of different learning disabilities, however the </w:t>
            </w:r>
            <w:r>
              <w:rPr>
                <w:sz w:val="24"/>
                <w:szCs w:val="24"/>
              </w:rPr>
              <w:lastRenderedPageBreak/>
              <w:t>Office remains committed to improving the experience of service users who have a disability.</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D241C" w:rsidP="00247FBC">
            <w:pPr>
              <w:spacing w:after="120" w:line="240" w:lineRule="auto"/>
              <w:rPr>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F62B04" w:rsidRDefault="00586EF7" w:rsidP="0042023B">
      <w:pPr>
        <w:rPr>
          <w:sz w:val="16"/>
          <w:szCs w:val="16"/>
        </w:rPr>
      </w:pPr>
    </w:p>
    <w:p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6341D" w:rsidP="00247FBC">
            <w:pPr>
              <w:spacing w:after="120" w:line="240" w:lineRule="auto"/>
              <w:rPr>
                <w:sz w:val="24"/>
                <w:szCs w:val="24"/>
              </w:rPr>
            </w:pPr>
            <w:r>
              <w:rPr>
                <w:sz w:val="24"/>
                <w:szCs w:val="24"/>
              </w:rPr>
              <w:t>The Office will promote greater awareness of services available from the Office to people with a learning disability through their representative organisations</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85321" w:rsidP="00247FBC">
            <w:pPr>
              <w:spacing w:after="120" w:line="240" w:lineRule="auto"/>
              <w:rPr>
                <w:sz w:val="24"/>
                <w:szCs w:val="24"/>
              </w:rPr>
            </w:pPr>
            <w:r>
              <w:rPr>
                <w:sz w:val="24"/>
                <w:szCs w:val="24"/>
              </w:rPr>
              <w:t>This has not been achieved in this year and will be considered as we consult on our disability action plan.</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A6341D" w:rsidP="00247FBC">
            <w:pPr>
              <w:spacing w:after="120" w:line="240" w:lineRule="auto"/>
              <w:rPr>
                <w:sz w:val="24"/>
                <w:szCs w:val="24"/>
              </w:rPr>
            </w:pPr>
            <w:r>
              <w:rPr>
                <w:sz w:val="24"/>
                <w:szCs w:val="24"/>
              </w:rPr>
              <w:t>The Office will liaise with the PSNI to share information about the progress of actions arising from the research report published by the Office and the Northern Ireland Policing Board on the views and experiences of people with a learning disability in relation to policing arrangements in Northern Ireland.</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Default="00A85321" w:rsidP="00247FBC">
            <w:pPr>
              <w:spacing w:after="120" w:line="240" w:lineRule="auto"/>
              <w:rPr>
                <w:sz w:val="24"/>
                <w:szCs w:val="24"/>
              </w:rPr>
            </w:pPr>
            <w:r>
              <w:rPr>
                <w:sz w:val="24"/>
                <w:szCs w:val="24"/>
              </w:rPr>
              <w:t>This has not materialised due to the passage of time since the research report was published.</w:t>
            </w:r>
          </w:p>
          <w:p w:rsidR="00A85321" w:rsidRPr="00AD241C" w:rsidRDefault="00A85321" w:rsidP="00247FBC">
            <w:pPr>
              <w:spacing w:after="120" w:line="240" w:lineRule="auto"/>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2023B" w:rsidP="0042023B">
      <w:pPr>
        <w:rPr>
          <w:sz w:val="24"/>
          <w:szCs w:val="24"/>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rsidR="0042023B" w:rsidRPr="00AD241C" w:rsidRDefault="0042023B" w:rsidP="0042023B">
      <w:pPr>
        <w:rPr>
          <w:sz w:val="24"/>
          <w:szCs w:val="24"/>
        </w:rPr>
      </w:pPr>
      <w:r w:rsidRPr="00AD241C">
        <w:rPr>
          <w:sz w:val="24"/>
          <w:szCs w:val="24"/>
        </w:rPr>
        <w:t>(a) Qualitative</w:t>
      </w:r>
    </w:p>
    <w:p w:rsidR="0042023B" w:rsidRPr="00AD241C" w:rsidRDefault="00755D64" w:rsidP="0042023B">
      <w:pPr>
        <w:rPr>
          <w:sz w:val="24"/>
          <w:szCs w:val="24"/>
        </w:rPr>
      </w:pPr>
      <w:r>
        <w:rPr>
          <w:sz w:val="24"/>
          <w:szCs w:val="24"/>
        </w:rPr>
        <w:lastRenderedPageBreak/>
        <w:t>The Equality Working Group is now fully functional and continues to monitor progress and will be fully involved in the consultation of a new Disability Action plan.</w:t>
      </w:r>
    </w:p>
    <w:p w:rsidR="0042023B" w:rsidRPr="00AD241C" w:rsidRDefault="0042023B" w:rsidP="0042023B">
      <w:pPr>
        <w:rPr>
          <w:sz w:val="24"/>
          <w:szCs w:val="24"/>
        </w:rPr>
      </w:pPr>
      <w:r w:rsidRPr="00AD241C">
        <w:rPr>
          <w:sz w:val="24"/>
          <w:szCs w:val="24"/>
        </w:rPr>
        <w:t>(b) Quantitative</w:t>
      </w:r>
    </w:p>
    <w:p w:rsidR="00586EF7" w:rsidRPr="00AD241C" w:rsidRDefault="00755D64" w:rsidP="0042023B">
      <w:pPr>
        <w:rPr>
          <w:sz w:val="24"/>
          <w:szCs w:val="24"/>
        </w:rPr>
      </w:pPr>
      <w:r>
        <w:rPr>
          <w:sz w:val="24"/>
          <w:szCs w:val="24"/>
        </w:rPr>
        <w:t>The Research and Statistics Department continue to monitor satisfactory levels throughout the Section 75 groups.</w:t>
      </w:r>
      <w:r w:rsidR="00EC3840">
        <w:rPr>
          <w:sz w:val="24"/>
          <w:szCs w:val="24"/>
        </w:rPr>
        <w:fldChar w:fldCharType="begin">
          <w:ffData>
            <w:name w:val="Text41"/>
            <w:enabled/>
            <w:calcOnExit w:val="0"/>
            <w:textInput/>
          </w:ffData>
        </w:fldChar>
      </w:r>
      <w:bookmarkStart w:id="14" w:name="Text41"/>
      <w:r w:rsidR="00AD241C">
        <w:rPr>
          <w:sz w:val="24"/>
          <w:szCs w:val="24"/>
        </w:rPr>
        <w:instrText xml:space="preserve"> FORMTEXT </w:instrText>
      </w:r>
      <w:r w:rsidR="002C752A">
        <w:rPr>
          <w:sz w:val="24"/>
          <w:szCs w:val="24"/>
        </w:rPr>
      </w:r>
      <w:r w:rsidR="002C752A">
        <w:rPr>
          <w:sz w:val="24"/>
          <w:szCs w:val="24"/>
        </w:rPr>
        <w:fldChar w:fldCharType="separate"/>
      </w:r>
      <w:r w:rsidR="00EC3840">
        <w:rPr>
          <w:sz w:val="24"/>
          <w:szCs w:val="24"/>
        </w:rPr>
        <w:fldChar w:fldCharType="end"/>
      </w:r>
      <w:bookmarkEnd w:id="14"/>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rsidR="00AD241C" w:rsidRDefault="0042023B" w:rsidP="0042023B">
      <w:pPr>
        <w:rPr>
          <w:sz w:val="24"/>
          <w:szCs w:val="24"/>
        </w:rPr>
      </w:pPr>
      <w:r w:rsidRPr="00AD241C">
        <w:rPr>
          <w:sz w:val="24"/>
          <w:szCs w:val="24"/>
        </w:rPr>
        <w:t xml:space="preserve"> </w:t>
      </w:r>
    </w:p>
    <w:p w:rsidR="00755D64" w:rsidRDefault="00755D64" w:rsidP="0042023B">
      <w:pPr>
        <w:rPr>
          <w:sz w:val="24"/>
          <w:szCs w:val="24"/>
        </w:rPr>
      </w:pPr>
      <w:r>
        <w:rPr>
          <w:sz w:val="24"/>
          <w:szCs w:val="24"/>
        </w:rPr>
        <w:t>No</w:t>
      </w:r>
    </w:p>
    <w:p w:rsidR="0042023B" w:rsidRPr="00AD241C" w:rsidRDefault="0042023B" w:rsidP="0042023B">
      <w:pPr>
        <w:rPr>
          <w:sz w:val="24"/>
          <w:szCs w:val="24"/>
        </w:rPr>
      </w:pPr>
      <w:r w:rsidRPr="00AD241C">
        <w:rPr>
          <w:sz w:val="24"/>
          <w:szCs w:val="24"/>
        </w:rPr>
        <w:t xml:space="preserve"> </w:t>
      </w:r>
      <w:r w:rsidR="00EC3840">
        <w:rPr>
          <w:sz w:val="24"/>
          <w:szCs w:val="24"/>
        </w:rPr>
        <w:fldChar w:fldCharType="begin">
          <w:ffData>
            <w:name w:val="Dropdown1"/>
            <w:enabled/>
            <w:calcOnExit w:val="0"/>
            <w:statusText w:type="text" w:val="Select yes or no"/>
            <w:ddList>
              <w:listEntry w:val="Please select"/>
              <w:listEntry w:val="Yes"/>
              <w:listEntry w:val="No"/>
            </w:ddList>
          </w:ffData>
        </w:fldChar>
      </w:r>
      <w:bookmarkStart w:id="15" w:name="Dropdown1"/>
      <w:r w:rsidR="00AD241C">
        <w:rPr>
          <w:sz w:val="24"/>
          <w:szCs w:val="24"/>
        </w:rPr>
        <w:instrText xml:space="preserve"> FORMDROPDOWN </w:instrText>
      </w:r>
      <w:r w:rsidR="002C752A">
        <w:rPr>
          <w:sz w:val="24"/>
          <w:szCs w:val="24"/>
        </w:rPr>
      </w:r>
      <w:r w:rsidR="002C752A">
        <w:rPr>
          <w:sz w:val="24"/>
          <w:szCs w:val="24"/>
        </w:rPr>
        <w:fldChar w:fldCharType="separate"/>
      </w:r>
      <w:r w:rsidR="00EC3840">
        <w:rPr>
          <w:sz w:val="24"/>
          <w:szCs w:val="24"/>
        </w:rPr>
        <w:fldChar w:fldCharType="end"/>
      </w:r>
      <w:bookmarkEnd w:id="15"/>
    </w:p>
    <w:p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Timescale</w:t>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rsidR="00586EF7" w:rsidRPr="00AD241C" w:rsidRDefault="0042023B" w:rsidP="0042023B">
      <w:pPr>
        <w:rPr>
          <w:sz w:val="24"/>
          <w:szCs w:val="24"/>
        </w:rPr>
      </w:pPr>
      <w:r w:rsidRPr="00AD241C">
        <w:rPr>
          <w:sz w:val="24"/>
          <w:szCs w:val="24"/>
        </w:rPr>
        <w:t xml:space="preserve"> </w:t>
      </w:r>
    </w:p>
    <w:p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lastRenderedPageBreak/>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rsidR="00586EF7" w:rsidRPr="00AD241C" w:rsidRDefault="00755D64" w:rsidP="00BA2078">
      <w:pPr>
        <w:rPr>
          <w:sz w:val="24"/>
          <w:szCs w:val="24"/>
        </w:rPr>
      </w:pPr>
      <w:r>
        <w:rPr>
          <w:sz w:val="24"/>
          <w:szCs w:val="24"/>
        </w:rPr>
        <w:t>Yes the disability action plan is due for review and Office plans to revise a new plan in the coming weeks.</w:t>
      </w:r>
    </w:p>
    <w:p w:rsidR="00586EF7" w:rsidRPr="00AD241C" w:rsidRDefault="00586EF7" w:rsidP="00BA2078">
      <w:pPr>
        <w:rPr>
          <w:sz w:val="24"/>
          <w:szCs w:val="24"/>
        </w:rPr>
      </w:pPr>
    </w:p>
    <w:sectPr w:rsidR="00586EF7" w:rsidRPr="00AD241C" w:rsidSect="006E47C9">
      <w:headerReference w:type="default" r:id="rId14"/>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C6" w:rsidRDefault="000C00C6" w:rsidP="00161476">
      <w:pPr>
        <w:spacing w:after="0" w:line="240" w:lineRule="auto"/>
      </w:pPr>
      <w:r>
        <w:separator/>
      </w:r>
    </w:p>
  </w:endnote>
  <w:endnote w:type="continuationSeparator" w:id="0">
    <w:p w:rsidR="000C00C6" w:rsidRDefault="000C00C6" w:rsidP="00161476">
      <w:pPr>
        <w:spacing w:after="0" w:line="240" w:lineRule="auto"/>
      </w:pPr>
      <w:r>
        <w:continuationSeparator/>
      </w:r>
    </w:p>
  </w:endnote>
  <w:endnote w:id="1">
    <w:p w:rsidR="000C00C6" w:rsidRPr="003A7F3A" w:rsidRDefault="000C00C6"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rsidR="000C00C6" w:rsidRPr="003A7F3A" w:rsidRDefault="000C00C6"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rsidR="000C00C6" w:rsidRPr="003A7F3A" w:rsidRDefault="000C00C6"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rsidR="000C00C6" w:rsidRPr="003A7F3A" w:rsidRDefault="000C00C6"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rsidR="000C00C6" w:rsidRPr="003A7F3A" w:rsidRDefault="000C00C6"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 w:id="6">
    <w:p w:rsidR="000C00C6" w:rsidRPr="003A7F3A" w:rsidRDefault="000C00C6" w:rsidP="0042023B">
      <w:pPr>
        <w:pStyle w:val="EndnoteText"/>
        <w:rPr>
          <w:rFonts w:cs="Arial"/>
        </w:rPr>
      </w:pPr>
      <w:r w:rsidRPr="003A7F3A">
        <w:rPr>
          <w:rStyle w:val="EndnoteReference"/>
          <w:rFonts w:cs="Arial"/>
          <w:b/>
        </w:rPr>
        <w:endnoteRef/>
      </w:r>
      <w:r w:rsidRPr="003A7F3A">
        <w:rPr>
          <w:rFonts w:cs="Arial"/>
          <w:b/>
        </w:rPr>
        <w:t xml:space="preserve"> Milestones</w:t>
      </w:r>
      <w:r w:rsidRPr="003A7F3A">
        <w:rPr>
          <w:rFonts w:cs="Arial"/>
        </w:rPr>
        <w:t xml:space="preserve"> – Please outline what part progress has been made towards the particular measures; even if full output or outcomes/ impact have not been achieved.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50"/>
      <w:docPartObj>
        <w:docPartGallery w:val="Page Numbers (Bottom of Page)"/>
        <w:docPartUnique/>
      </w:docPartObj>
    </w:sdtPr>
    <w:sdtEndPr/>
    <w:sdtContent>
      <w:p w:rsidR="000C00C6" w:rsidRDefault="000C00C6">
        <w:pPr>
          <w:pStyle w:val="Footer"/>
          <w:jc w:val="center"/>
        </w:pPr>
        <w:r>
          <w:fldChar w:fldCharType="begin"/>
        </w:r>
        <w:r>
          <w:instrText xml:space="preserve"> PAGE   \* MERGEFORMAT </w:instrText>
        </w:r>
        <w:r>
          <w:fldChar w:fldCharType="separate"/>
        </w:r>
        <w:r w:rsidR="002C752A">
          <w:rPr>
            <w:noProof/>
          </w:rPr>
          <w:t>18</w:t>
        </w:r>
        <w:r>
          <w:rPr>
            <w:noProof/>
          </w:rPr>
          <w:fldChar w:fldCharType="end"/>
        </w:r>
      </w:p>
    </w:sdtContent>
  </w:sdt>
  <w:p w:rsidR="000C00C6" w:rsidRDefault="000C0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C6" w:rsidRDefault="000C00C6" w:rsidP="00161476">
      <w:pPr>
        <w:spacing w:after="0" w:line="240" w:lineRule="auto"/>
      </w:pPr>
      <w:r>
        <w:separator/>
      </w:r>
    </w:p>
  </w:footnote>
  <w:footnote w:type="continuationSeparator" w:id="0">
    <w:p w:rsidR="000C00C6" w:rsidRDefault="000C00C6"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C6" w:rsidRDefault="000C00C6">
    <w:pPr>
      <w:pStyle w:val="Header"/>
    </w:pPr>
    <w:r>
      <w:t>DRAFT for approval 120215</w:t>
    </w:r>
  </w:p>
  <w:p w:rsidR="000C00C6" w:rsidRDefault="000C0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C6" w:rsidRDefault="000C00C6">
    <w:pPr>
      <w:pStyle w:val="Header"/>
    </w:pPr>
    <w:r>
      <w:t>PART 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C6" w:rsidRDefault="000C00C6">
    <w:pPr>
      <w:pStyle w:val="Header"/>
    </w:pPr>
    <w:r>
      <w:t>PART B</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3"/>
  </w:num>
  <w:num w:numId="5">
    <w:abstractNumId w:val="6"/>
  </w:num>
  <w:num w:numId="6">
    <w:abstractNumId w:val="1"/>
  </w:num>
  <w:num w:numId="7">
    <w:abstractNumId w:val="0"/>
  </w:num>
  <w:num w:numId="8">
    <w:abstractNumId w:val="9"/>
  </w:num>
  <w:num w:numId="9">
    <w:abstractNumId w:val="7"/>
  </w:num>
  <w:num w:numId="10">
    <w:abstractNumId w:val="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63"/>
    <w:rsid w:val="00013C1F"/>
    <w:rsid w:val="00045425"/>
    <w:rsid w:val="000462A6"/>
    <w:rsid w:val="000551B7"/>
    <w:rsid w:val="00055BAA"/>
    <w:rsid w:val="000618AF"/>
    <w:rsid w:val="00064206"/>
    <w:rsid w:val="00066A78"/>
    <w:rsid w:val="0007263A"/>
    <w:rsid w:val="000737B8"/>
    <w:rsid w:val="00074412"/>
    <w:rsid w:val="00081210"/>
    <w:rsid w:val="0008294C"/>
    <w:rsid w:val="00085BA5"/>
    <w:rsid w:val="00087049"/>
    <w:rsid w:val="00097804"/>
    <w:rsid w:val="00097CBA"/>
    <w:rsid w:val="000A4DA9"/>
    <w:rsid w:val="000A5540"/>
    <w:rsid w:val="000A6753"/>
    <w:rsid w:val="000A6CED"/>
    <w:rsid w:val="000A7730"/>
    <w:rsid w:val="000B1575"/>
    <w:rsid w:val="000B7756"/>
    <w:rsid w:val="000C00C6"/>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F239A"/>
    <w:rsid w:val="000F597E"/>
    <w:rsid w:val="0010612A"/>
    <w:rsid w:val="00121C30"/>
    <w:rsid w:val="00124341"/>
    <w:rsid w:val="00133839"/>
    <w:rsid w:val="00143990"/>
    <w:rsid w:val="001452A7"/>
    <w:rsid w:val="001504A3"/>
    <w:rsid w:val="00152228"/>
    <w:rsid w:val="001530E9"/>
    <w:rsid w:val="00154821"/>
    <w:rsid w:val="00161476"/>
    <w:rsid w:val="00166F10"/>
    <w:rsid w:val="00167D89"/>
    <w:rsid w:val="00170DC6"/>
    <w:rsid w:val="00176C9E"/>
    <w:rsid w:val="001918DF"/>
    <w:rsid w:val="001941D6"/>
    <w:rsid w:val="001A5E43"/>
    <w:rsid w:val="001B1713"/>
    <w:rsid w:val="001B3397"/>
    <w:rsid w:val="001B6FD7"/>
    <w:rsid w:val="001C48FF"/>
    <w:rsid w:val="001C5D69"/>
    <w:rsid w:val="001D037F"/>
    <w:rsid w:val="001E0DA6"/>
    <w:rsid w:val="001E78A1"/>
    <w:rsid w:val="001F321B"/>
    <w:rsid w:val="001F6278"/>
    <w:rsid w:val="002107D0"/>
    <w:rsid w:val="00211E32"/>
    <w:rsid w:val="002138D9"/>
    <w:rsid w:val="0022359F"/>
    <w:rsid w:val="002429DA"/>
    <w:rsid w:val="00242FEB"/>
    <w:rsid w:val="00243482"/>
    <w:rsid w:val="0024757B"/>
    <w:rsid w:val="00247FBC"/>
    <w:rsid w:val="0025148D"/>
    <w:rsid w:val="00255E06"/>
    <w:rsid w:val="00261D90"/>
    <w:rsid w:val="00262A45"/>
    <w:rsid w:val="00263B21"/>
    <w:rsid w:val="0026456C"/>
    <w:rsid w:val="002674F7"/>
    <w:rsid w:val="002714F6"/>
    <w:rsid w:val="00272531"/>
    <w:rsid w:val="00272591"/>
    <w:rsid w:val="0027440A"/>
    <w:rsid w:val="00275BAD"/>
    <w:rsid w:val="00276D44"/>
    <w:rsid w:val="0027786B"/>
    <w:rsid w:val="002824F1"/>
    <w:rsid w:val="002849A1"/>
    <w:rsid w:val="0028533B"/>
    <w:rsid w:val="00287205"/>
    <w:rsid w:val="00287C7C"/>
    <w:rsid w:val="00294D79"/>
    <w:rsid w:val="002A5C9E"/>
    <w:rsid w:val="002B2C2F"/>
    <w:rsid w:val="002C53C3"/>
    <w:rsid w:val="002C752A"/>
    <w:rsid w:val="002D27B6"/>
    <w:rsid w:val="002D63EA"/>
    <w:rsid w:val="002E5119"/>
    <w:rsid w:val="002F17F5"/>
    <w:rsid w:val="002F2980"/>
    <w:rsid w:val="002F31C5"/>
    <w:rsid w:val="002F462E"/>
    <w:rsid w:val="002F46F8"/>
    <w:rsid w:val="002F4864"/>
    <w:rsid w:val="00300123"/>
    <w:rsid w:val="00305325"/>
    <w:rsid w:val="00306393"/>
    <w:rsid w:val="00312B7E"/>
    <w:rsid w:val="00315373"/>
    <w:rsid w:val="00316140"/>
    <w:rsid w:val="003162B3"/>
    <w:rsid w:val="00317511"/>
    <w:rsid w:val="00321603"/>
    <w:rsid w:val="00326953"/>
    <w:rsid w:val="00332A68"/>
    <w:rsid w:val="0033387F"/>
    <w:rsid w:val="00334936"/>
    <w:rsid w:val="00334F2A"/>
    <w:rsid w:val="00341F20"/>
    <w:rsid w:val="0034389E"/>
    <w:rsid w:val="003465CD"/>
    <w:rsid w:val="00346BC4"/>
    <w:rsid w:val="00346D28"/>
    <w:rsid w:val="00367EB3"/>
    <w:rsid w:val="00371D57"/>
    <w:rsid w:val="00372BF2"/>
    <w:rsid w:val="003876A7"/>
    <w:rsid w:val="00393598"/>
    <w:rsid w:val="003A16CA"/>
    <w:rsid w:val="003A7F3A"/>
    <w:rsid w:val="003B16B8"/>
    <w:rsid w:val="003B28B0"/>
    <w:rsid w:val="003B5A6A"/>
    <w:rsid w:val="003C0A05"/>
    <w:rsid w:val="003D45E8"/>
    <w:rsid w:val="003D483C"/>
    <w:rsid w:val="003E258B"/>
    <w:rsid w:val="003E4AFD"/>
    <w:rsid w:val="003F62E5"/>
    <w:rsid w:val="00406BBB"/>
    <w:rsid w:val="00410771"/>
    <w:rsid w:val="00414698"/>
    <w:rsid w:val="0041718C"/>
    <w:rsid w:val="0042023B"/>
    <w:rsid w:val="00422BC2"/>
    <w:rsid w:val="00430FE7"/>
    <w:rsid w:val="004365C2"/>
    <w:rsid w:val="00436ACD"/>
    <w:rsid w:val="00436ED6"/>
    <w:rsid w:val="004429A5"/>
    <w:rsid w:val="00443137"/>
    <w:rsid w:val="004536B3"/>
    <w:rsid w:val="00454179"/>
    <w:rsid w:val="004547D8"/>
    <w:rsid w:val="0045759F"/>
    <w:rsid w:val="0046773F"/>
    <w:rsid w:val="004719C5"/>
    <w:rsid w:val="00472464"/>
    <w:rsid w:val="00472EE0"/>
    <w:rsid w:val="00473139"/>
    <w:rsid w:val="00484B78"/>
    <w:rsid w:val="004A75FC"/>
    <w:rsid w:val="004B7086"/>
    <w:rsid w:val="004D1547"/>
    <w:rsid w:val="004D2F21"/>
    <w:rsid w:val="004D6D37"/>
    <w:rsid w:val="004D6EA7"/>
    <w:rsid w:val="004D7738"/>
    <w:rsid w:val="004E38C3"/>
    <w:rsid w:val="004F20F2"/>
    <w:rsid w:val="004F4D0E"/>
    <w:rsid w:val="005009C4"/>
    <w:rsid w:val="00502130"/>
    <w:rsid w:val="0050527A"/>
    <w:rsid w:val="005055C4"/>
    <w:rsid w:val="00510FC2"/>
    <w:rsid w:val="00515EC6"/>
    <w:rsid w:val="0052041C"/>
    <w:rsid w:val="00526F2C"/>
    <w:rsid w:val="005273D2"/>
    <w:rsid w:val="00534B70"/>
    <w:rsid w:val="00535B40"/>
    <w:rsid w:val="005454E1"/>
    <w:rsid w:val="0054612E"/>
    <w:rsid w:val="0054644A"/>
    <w:rsid w:val="005513C0"/>
    <w:rsid w:val="00562338"/>
    <w:rsid w:val="005656EC"/>
    <w:rsid w:val="005664ED"/>
    <w:rsid w:val="00566723"/>
    <w:rsid w:val="00572CED"/>
    <w:rsid w:val="00576260"/>
    <w:rsid w:val="005826EE"/>
    <w:rsid w:val="0058539B"/>
    <w:rsid w:val="005857B5"/>
    <w:rsid w:val="00586269"/>
    <w:rsid w:val="00586EF7"/>
    <w:rsid w:val="005939B6"/>
    <w:rsid w:val="00594AC9"/>
    <w:rsid w:val="005A10BD"/>
    <w:rsid w:val="005B0731"/>
    <w:rsid w:val="005B535C"/>
    <w:rsid w:val="005C7CC0"/>
    <w:rsid w:val="005D13F2"/>
    <w:rsid w:val="005D1E3E"/>
    <w:rsid w:val="005D2C76"/>
    <w:rsid w:val="005E17B6"/>
    <w:rsid w:val="005F0525"/>
    <w:rsid w:val="005F39EE"/>
    <w:rsid w:val="005F6116"/>
    <w:rsid w:val="00614A9E"/>
    <w:rsid w:val="006201F9"/>
    <w:rsid w:val="00620241"/>
    <w:rsid w:val="00621C58"/>
    <w:rsid w:val="006263BA"/>
    <w:rsid w:val="0063071C"/>
    <w:rsid w:val="00635290"/>
    <w:rsid w:val="006377E2"/>
    <w:rsid w:val="0064377C"/>
    <w:rsid w:val="00645C9F"/>
    <w:rsid w:val="00646416"/>
    <w:rsid w:val="00650CD4"/>
    <w:rsid w:val="00653CD3"/>
    <w:rsid w:val="00656B63"/>
    <w:rsid w:val="006651B7"/>
    <w:rsid w:val="00675769"/>
    <w:rsid w:val="00686CFC"/>
    <w:rsid w:val="0069003B"/>
    <w:rsid w:val="006A080C"/>
    <w:rsid w:val="006A4742"/>
    <w:rsid w:val="006A59C9"/>
    <w:rsid w:val="006C3E5A"/>
    <w:rsid w:val="006C6B75"/>
    <w:rsid w:val="006C7BD0"/>
    <w:rsid w:val="006D1970"/>
    <w:rsid w:val="006D50E0"/>
    <w:rsid w:val="006D674C"/>
    <w:rsid w:val="006E47C9"/>
    <w:rsid w:val="006E747A"/>
    <w:rsid w:val="006F1CC4"/>
    <w:rsid w:val="006F53D8"/>
    <w:rsid w:val="006F5B2F"/>
    <w:rsid w:val="006F6F17"/>
    <w:rsid w:val="00704687"/>
    <w:rsid w:val="0070537D"/>
    <w:rsid w:val="00717E60"/>
    <w:rsid w:val="007220FE"/>
    <w:rsid w:val="00725066"/>
    <w:rsid w:val="007262F6"/>
    <w:rsid w:val="00726ED1"/>
    <w:rsid w:val="007319FA"/>
    <w:rsid w:val="00733E8A"/>
    <w:rsid w:val="0073528A"/>
    <w:rsid w:val="0074032F"/>
    <w:rsid w:val="007534D8"/>
    <w:rsid w:val="00755D64"/>
    <w:rsid w:val="00757A8E"/>
    <w:rsid w:val="007658C5"/>
    <w:rsid w:val="00775D08"/>
    <w:rsid w:val="00784704"/>
    <w:rsid w:val="00784C0E"/>
    <w:rsid w:val="00790718"/>
    <w:rsid w:val="00796748"/>
    <w:rsid w:val="007D0721"/>
    <w:rsid w:val="007D726A"/>
    <w:rsid w:val="007E1DCA"/>
    <w:rsid w:val="007E4CE9"/>
    <w:rsid w:val="007E534D"/>
    <w:rsid w:val="007F3382"/>
    <w:rsid w:val="007F65C2"/>
    <w:rsid w:val="0081102F"/>
    <w:rsid w:val="008224F1"/>
    <w:rsid w:val="00822D28"/>
    <w:rsid w:val="008252AE"/>
    <w:rsid w:val="00825CC5"/>
    <w:rsid w:val="00827897"/>
    <w:rsid w:val="00827D48"/>
    <w:rsid w:val="00832007"/>
    <w:rsid w:val="00832A98"/>
    <w:rsid w:val="00834002"/>
    <w:rsid w:val="008478BF"/>
    <w:rsid w:val="0085135C"/>
    <w:rsid w:val="00851E23"/>
    <w:rsid w:val="0085422B"/>
    <w:rsid w:val="00865D09"/>
    <w:rsid w:val="00867099"/>
    <w:rsid w:val="00882155"/>
    <w:rsid w:val="00884487"/>
    <w:rsid w:val="00891C80"/>
    <w:rsid w:val="00891F6E"/>
    <w:rsid w:val="00897901"/>
    <w:rsid w:val="008C26EC"/>
    <w:rsid w:val="008C3178"/>
    <w:rsid w:val="008D4713"/>
    <w:rsid w:val="008E16A9"/>
    <w:rsid w:val="008E3B4B"/>
    <w:rsid w:val="008E73FF"/>
    <w:rsid w:val="008F036A"/>
    <w:rsid w:val="00904E8F"/>
    <w:rsid w:val="00923228"/>
    <w:rsid w:val="00925059"/>
    <w:rsid w:val="00932DC2"/>
    <w:rsid w:val="009369D4"/>
    <w:rsid w:val="00940E26"/>
    <w:rsid w:val="00943386"/>
    <w:rsid w:val="0095134C"/>
    <w:rsid w:val="00955AD5"/>
    <w:rsid w:val="00963035"/>
    <w:rsid w:val="00970256"/>
    <w:rsid w:val="00971A00"/>
    <w:rsid w:val="0099002A"/>
    <w:rsid w:val="009909AE"/>
    <w:rsid w:val="00994E84"/>
    <w:rsid w:val="009B77E0"/>
    <w:rsid w:val="009D26F3"/>
    <w:rsid w:val="009D2CD7"/>
    <w:rsid w:val="009D2E80"/>
    <w:rsid w:val="009E56A5"/>
    <w:rsid w:val="009F1F32"/>
    <w:rsid w:val="009F7C5C"/>
    <w:rsid w:val="00A00F74"/>
    <w:rsid w:val="00A03395"/>
    <w:rsid w:val="00A04DF9"/>
    <w:rsid w:val="00A13979"/>
    <w:rsid w:val="00A1752C"/>
    <w:rsid w:val="00A17C20"/>
    <w:rsid w:val="00A23D1D"/>
    <w:rsid w:val="00A34543"/>
    <w:rsid w:val="00A445C4"/>
    <w:rsid w:val="00A454A3"/>
    <w:rsid w:val="00A475A4"/>
    <w:rsid w:val="00A6267C"/>
    <w:rsid w:val="00A6341D"/>
    <w:rsid w:val="00A64A74"/>
    <w:rsid w:val="00A65A50"/>
    <w:rsid w:val="00A71334"/>
    <w:rsid w:val="00A72BC3"/>
    <w:rsid w:val="00A733B3"/>
    <w:rsid w:val="00A73456"/>
    <w:rsid w:val="00A746D6"/>
    <w:rsid w:val="00A85321"/>
    <w:rsid w:val="00A9097D"/>
    <w:rsid w:val="00A9108F"/>
    <w:rsid w:val="00AA1AD5"/>
    <w:rsid w:val="00AA50ED"/>
    <w:rsid w:val="00AA5D26"/>
    <w:rsid w:val="00AA7D42"/>
    <w:rsid w:val="00AB1E0C"/>
    <w:rsid w:val="00AC6E2D"/>
    <w:rsid w:val="00AC7691"/>
    <w:rsid w:val="00AD2318"/>
    <w:rsid w:val="00AD241C"/>
    <w:rsid w:val="00AD4BB0"/>
    <w:rsid w:val="00AD7A86"/>
    <w:rsid w:val="00AE7223"/>
    <w:rsid w:val="00AF2913"/>
    <w:rsid w:val="00AF410A"/>
    <w:rsid w:val="00AF4B9F"/>
    <w:rsid w:val="00B00DB2"/>
    <w:rsid w:val="00B00E6D"/>
    <w:rsid w:val="00B06AF0"/>
    <w:rsid w:val="00B071CD"/>
    <w:rsid w:val="00B13142"/>
    <w:rsid w:val="00B14B01"/>
    <w:rsid w:val="00B16092"/>
    <w:rsid w:val="00B23BFF"/>
    <w:rsid w:val="00B2496D"/>
    <w:rsid w:val="00B4168D"/>
    <w:rsid w:val="00B44299"/>
    <w:rsid w:val="00B443B8"/>
    <w:rsid w:val="00B44B0B"/>
    <w:rsid w:val="00B5207F"/>
    <w:rsid w:val="00B53A06"/>
    <w:rsid w:val="00B542DB"/>
    <w:rsid w:val="00B5607E"/>
    <w:rsid w:val="00B625C5"/>
    <w:rsid w:val="00B65F01"/>
    <w:rsid w:val="00B66DF8"/>
    <w:rsid w:val="00B702CF"/>
    <w:rsid w:val="00B7134A"/>
    <w:rsid w:val="00B808B4"/>
    <w:rsid w:val="00B80EE1"/>
    <w:rsid w:val="00B83278"/>
    <w:rsid w:val="00B84D28"/>
    <w:rsid w:val="00B86225"/>
    <w:rsid w:val="00B867F7"/>
    <w:rsid w:val="00B93DEF"/>
    <w:rsid w:val="00B93F14"/>
    <w:rsid w:val="00B947D2"/>
    <w:rsid w:val="00B96323"/>
    <w:rsid w:val="00BA1714"/>
    <w:rsid w:val="00BA2078"/>
    <w:rsid w:val="00BA51A6"/>
    <w:rsid w:val="00BA7236"/>
    <w:rsid w:val="00BB1C1C"/>
    <w:rsid w:val="00BB3D83"/>
    <w:rsid w:val="00BB41B0"/>
    <w:rsid w:val="00BC21A0"/>
    <w:rsid w:val="00BD0781"/>
    <w:rsid w:val="00BD26A1"/>
    <w:rsid w:val="00BD2B62"/>
    <w:rsid w:val="00BE280F"/>
    <w:rsid w:val="00BF0174"/>
    <w:rsid w:val="00BF6332"/>
    <w:rsid w:val="00C06046"/>
    <w:rsid w:val="00C10985"/>
    <w:rsid w:val="00C12452"/>
    <w:rsid w:val="00C129B8"/>
    <w:rsid w:val="00C203CD"/>
    <w:rsid w:val="00C23AA7"/>
    <w:rsid w:val="00C24D2C"/>
    <w:rsid w:val="00C31779"/>
    <w:rsid w:val="00C41960"/>
    <w:rsid w:val="00C556A8"/>
    <w:rsid w:val="00C56613"/>
    <w:rsid w:val="00C56FBE"/>
    <w:rsid w:val="00C85073"/>
    <w:rsid w:val="00C905C8"/>
    <w:rsid w:val="00C9068E"/>
    <w:rsid w:val="00C913D7"/>
    <w:rsid w:val="00C91AFA"/>
    <w:rsid w:val="00C960BA"/>
    <w:rsid w:val="00C96F05"/>
    <w:rsid w:val="00C97570"/>
    <w:rsid w:val="00CB00FD"/>
    <w:rsid w:val="00CB03FF"/>
    <w:rsid w:val="00CB13B5"/>
    <w:rsid w:val="00CB7E48"/>
    <w:rsid w:val="00CD146B"/>
    <w:rsid w:val="00CD20E3"/>
    <w:rsid w:val="00CD21F6"/>
    <w:rsid w:val="00CD3ABF"/>
    <w:rsid w:val="00CD752D"/>
    <w:rsid w:val="00CE3E45"/>
    <w:rsid w:val="00CE5D69"/>
    <w:rsid w:val="00CE671F"/>
    <w:rsid w:val="00CF2EE6"/>
    <w:rsid w:val="00D00418"/>
    <w:rsid w:val="00D11841"/>
    <w:rsid w:val="00D23FF1"/>
    <w:rsid w:val="00D30C4B"/>
    <w:rsid w:val="00D3470C"/>
    <w:rsid w:val="00D43EDD"/>
    <w:rsid w:val="00D5646C"/>
    <w:rsid w:val="00D60D0C"/>
    <w:rsid w:val="00D91641"/>
    <w:rsid w:val="00D917A0"/>
    <w:rsid w:val="00D9233A"/>
    <w:rsid w:val="00D96F15"/>
    <w:rsid w:val="00DA234D"/>
    <w:rsid w:val="00DA3BEE"/>
    <w:rsid w:val="00DA4205"/>
    <w:rsid w:val="00DA7A89"/>
    <w:rsid w:val="00DB5575"/>
    <w:rsid w:val="00DC0EFA"/>
    <w:rsid w:val="00DC58A8"/>
    <w:rsid w:val="00DC6402"/>
    <w:rsid w:val="00DC71A7"/>
    <w:rsid w:val="00DD02FC"/>
    <w:rsid w:val="00DF067C"/>
    <w:rsid w:val="00DF3326"/>
    <w:rsid w:val="00DF56BA"/>
    <w:rsid w:val="00DF6F9B"/>
    <w:rsid w:val="00DF706C"/>
    <w:rsid w:val="00E03791"/>
    <w:rsid w:val="00E12BD4"/>
    <w:rsid w:val="00E1706D"/>
    <w:rsid w:val="00E31179"/>
    <w:rsid w:val="00E44F29"/>
    <w:rsid w:val="00E51944"/>
    <w:rsid w:val="00E524F1"/>
    <w:rsid w:val="00E540B8"/>
    <w:rsid w:val="00E56DE3"/>
    <w:rsid w:val="00E60EB1"/>
    <w:rsid w:val="00E71A5E"/>
    <w:rsid w:val="00E740C9"/>
    <w:rsid w:val="00E82285"/>
    <w:rsid w:val="00E822C9"/>
    <w:rsid w:val="00E923CD"/>
    <w:rsid w:val="00EA1258"/>
    <w:rsid w:val="00EA4DFE"/>
    <w:rsid w:val="00EA7D86"/>
    <w:rsid w:val="00EC0618"/>
    <w:rsid w:val="00EC2B0A"/>
    <w:rsid w:val="00EC370B"/>
    <w:rsid w:val="00EC377C"/>
    <w:rsid w:val="00EC3840"/>
    <w:rsid w:val="00F050F0"/>
    <w:rsid w:val="00F06854"/>
    <w:rsid w:val="00F074CB"/>
    <w:rsid w:val="00F133CF"/>
    <w:rsid w:val="00F15F2B"/>
    <w:rsid w:val="00F1611A"/>
    <w:rsid w:val="00F25F10"/>
    <w:rsid w:val="00F26DE8"/>
    <w:rsid w:val="00F27077"/>
    <w:rsid w:val="00F305B6"/>
    <w:rsid w:val="00F35F3D"/>
    <w:rsid w:val="00F47EAD"/>
    <w:rsid w:val="00F52007"/>
    <w:rsid w:val="00F5227C"/>
    <w:rsid w:val="00F54D95"/>
    <w:rsid w:val="00F566D2"/>
    <w:rsid w:val="00F622CB"/>
    <w:rsid w:val="00F62B04"/>
    <w:rsid w:val="00F66EB1"/>
    <w:rsid w:val="00F67A90"/>
    <w:rsid w:val="00F70045"/>
    <w:rsid w:val="00F7025F"/>
    <w:rsid w:val="00F70E42"/>
    <w:rsid w:val="00F745D7"/>
    <w:rsid w:val="00F74617"/>
    <w:rsid w:val="00F746F2"/>
    <w:rsid w:val="00F802E8"/>
    <w:rsid w:val="00F84477"/>
    <w:rsid w:val="00F844DA"/>
    <w:rsid w:val="00F87238"/>
    <w:rsid w:val="00F87FDC"/>
    <w:rsid w:val="00F900B5"/>
    <w:rsid w:val="00F93739"/>
    <w:rsid w:val="00F94AD2"/>
    <w:rsid w:val="00FA09FF"/>
    <w:rsid w:val="00FA5A0F"/>
    <w:rsid w:val="00FA69E7"/>
    <w:rsid w:val="00FA7E86"/>
    <w:rsid w:val="00FB3774"/>
    <w:rsid w:val="00FB77F3"/>
    <w:rsid w:val="00FC5D21"/>
    <w:rsid w:val="00FD434A"/>
    <w:rsid w:val="00FD4AF9"/>
    <w:rsid w:val="00FD5AE5"/>
    <w:rsid w:val="00FE53C3"/>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367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liceombudsman.org/About-Us/Publications/Equa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3F557-9F6A-4B30-A12E-194EBD6C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2018-11-13T15:20:00Z</dcterms:created>
  <dcterms:modified xsi:type="dcterms:W3CDTF">2018-11-13T15:20:00Z</dcterms:modified>
</cp:coreProperties>
</file>