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D04671">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567D88" w:rsidP="00903349">
            <w:r>
              <w:t>DNA Elimination Record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aim of</w:t>
            </w:r>
            <w:r w:rsidR="007D6AFD">
              <w:t xml:space="preserve"> the policy is to</w:t>
            </w:r>
            <w:r w:rsidR="00567D88">
              <w:t xml:space="preserve"> outline the Office’s policy concerning the use, retention and recording of DNA samples and profiles from staff to be retained by FSNI on elimination databases</w:t>
            </w:r>
            <w:r w:rsidR="007D6AFD">
              <w:t>.</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567D88" w:rsidP="00903349">
            <w:r>
              <w:t>Chief Executive.</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567D88" w:rsidP="00903349">
            <w:pPr>
              <w:rPr>
                <w:rFonts w:cs="Arial"/>
                <w:szCs w:val="24"/>
              </w:rPr>
            </w:pPr>
            <w:r>
              <w:rPr>
                <w:rFonts w:cs="Arial"/>
                <w:szCs w:val="24"/>
              </w:rPr>
              <w:t>Chief Executive</w:t>
            </w:r>
            <w:r w:rsidR="00911A8E">
              <w:rPr>
                <w:rFonts w:cs="Arial"/>
                <w:szCs w:val="24"/>
              </w:rPr>
              <w:t>.</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D04671"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0306"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6B6E"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D04671"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86D1"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D04671"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D04671"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r w:rsidR="00567D88">
        <w:rPr>
          <w:rFonts w:cs="Arial"/>
          <w:bCs/>
          <w:sz w:val="28"/>
          <w:szCs w:val="28"/>
        </w:rPr>
        <w:t>N/A</w:t>
      </w:r>
    </w:p>
    <w:p w:rsidR="00911A8E" w:rsidRPr="00FA0121" w:rsidRDefault="00911A8E" w:rsidP="00911A8E">
      <w:pPr>
        <w:spacing w:line="240" w:lineRule="atLeast"/>
        <w:ind w:hanging="180"/>
        <w:rPr>
          <w:rFonts w:cs="Arial"/>
          <w:bCs/>
          <w:sz w:val="28"/>
          <w:szCs w:val="28"/>
        </w:rPr>
      </w:pP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840ED" w:rsidP="00315C2A">
            <w:pPr>
              <w:spacing w:before="120" w:after="120"/>
              <w:rPr>
                <w:rFonts w:cs="Arial"/>
                <w:sz w:val="28"/>
                <w:szCs w:val="28"/>
              </w:rPr>
            </w:pPr>
            <w:r>
              <w:rPr>
                <w:rFonts w:cs="Arial"/>
                <w:sz w:val="28"/>
                <w:szCs w:val="28"/>
              </w:rPr>
              <w:t>29/12/2017</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1B4009" w:rsidP="00903349">
            <w:pPr>
              <w:spacing w:before="120" w:after="120"/>
              <w:rPr>
                <w:rFonts w:cs="Arial"/>
                <w:sz w:val="28"/>
                <w:szCs w:val="28"/>
              </w:rPr>
            </w:pPr>
            <w:r>
              <w:rPr>
                <w:rFonts w:cs="Arial"/>
                <w:sz w:val="28"/>
                <w:szCs w:val="28"/>
              </w:rPr>
              <w:t>Olwen Laird</w:t>
            </w: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1B4009" w:rsidP="00903349">
            <w:pPr>
              <w:spacing w:before="120" w:after="120"/>
              <w:rPr>
                <w:rFonts w:cs="Arial"/>
                <w:sz w:val="28"/>
                <w:szCs w:val="28"/>
              </w:rPr>
            </w:pPr>
            <w:r>
              <w:rPr>
                <w:rFonts w:cs="Arial"/>
                <w:sz w:val="28"/>
                <w:szCs w:val="28"/>
              </w:rPr>
              <w:t>05/01/2018</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B4009"/>
    <w:rsid w:val="001E71BB"/>
    <w:rsid w:val="00201364"/>
    <w:rsid w:val="00226ABB"/>
    <w:rsid w:val="00252F8F"/>
    <w:rsid w:val="00267538"/>
    <w:rsid w:val="00285A0F"/>
    <w:rsid w:val="00315C2A"/>
    <w:rsid w:val="00380BA5"/>
    <w:rsid w:val="004417B2"/>
    <w:rsid w:val="0047106D"/>
    <w:rsid w:val="004754A5"/>
    <w:rsid w:val="00567D88"/>
    <w:rsid w:val="00583FBC"/>
    <w:rsid w:val="005B506E"/>
    <w:rsid w:val="005F7521"/>
    <w:rsid w:val="006C402B"/>
    <w:rsid w:val="0076411D"/>
    <w:rsid w:val="007D6AFD"/>
    <w:rsid w:val="007F378D"/>
    <w:rsid w:val="008D55AB"/>
    <w:rsid w:val="008D69D8"/>
    <w:rsid w:val="00903349"/>
    <w:rsid w:val="00911A8E"/>
    <w:rsid w:val="00923994"/>
    <w:rsid w:val="00972F79"/>
    <w:rsid w:val="00975533"/>
    <w:rsid w:val="00A246A0"/>
    <w:rsid w:val="00A25769"/>
    <w:rsid w:val="00AB1B4A"/>
    <w:rsid w:val="00AC4776"/>
    <w:rsid w:val="00B87AD8"/>
    <w:rsid w:val="00C94D3C"/>
    <w:rsid w:val="00D04671"/>
    <w:rsid w:val="00D34E03"/>
    <w:rsid w:val="00E127D6"/>
    <w:rsid w:val="00E20261"/>
    <w:rsid w:val="00E840ED"/>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2018-01-20T13:21:00Z</dcterms:created>
  <dcterms:modified xsi:type="dcterms:W3CDTF">2018-01-20T13:21:00Z</dcterms:modified>
</cp:coreProperties>
</file>