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9C" w:rsidRPr="001E0DA6" w:rsidRDefault="00A87CA3" w:rsidP="00E31179">
      <w:pPr>
        <w:spacing w:before="120" w:after="120" w:line="480" w:lineRule="auto"/>
        <w:jc w:val="center"/>
        <w:rPr>
          <w:rFonts w:cs="Arial"/>
          <w:b/>
          <w:i/>
          <w:sz w:val="32"/>
          <w:szCs w:val="32"/>
        </w:rPr>
      </w:pPr>
      <w:r>
        <w:rPr>
          <w:rFonts w:cs="Arial"/>
          <w:b/>
          <w:i/>
          <w:sz w:val="32"/>
          <w:szCs w:val="32"/>
        </w:rPr>
        <w:fldChar w:fldCharType="begin">
          <w:ffData>
            <w:name w:val="Text34"/>
            <w:enabled/>
            <w:calcOnExit w:val="0"/>
            <w:textInput>
              <w:default w:val="The Office of the Police Ombudsman for Northern Ireland"/>
            </w:textInput>
          </w:ffData>
        </w:fldChar>
      </w:r>
      <w:bookmarkStart w:id="0" w:name="Text34"/>
      <w:r w:rsidR="00C65C70">
        <w:rPr>
          <w:rFonts w:cs="Arial"/>
          <w:b/>
          <w:i/>
          <w:sz w:val="32"/>
          <w:szCs w:val="32"/>
        </w:rPr>
        <w:instrText xml:space="preserve"> FORMTEXT </w:instrText>
      </w:r>
      <w:r>
        <w:rPr>
          <w:rFonts w:cs="Arial"/>
          <w:b/>
          <w:i/>
          <w:sz w:val="32"/>
          <w:szCs w:val="32"/>
        </w:rPr>
      </w:r>
      <w:r>
        <w:rPr>
          <w:rFonts w:cs="Arial"/>
          <w:b/>
          <w:i/>
          <w:sz w:val="32"/>
          <w:szCs w:val="32"/>
        </w:rPr>
        <w:fldChar w:fldCharType="separate"/>
      </w:r>
      <w:r w:rsidR="00C65C70">
        <w:rPr>
          <w:rFonts w:cs="Arial"/>
          <w:b/>
          <w:i/>
          <w:noProof/>
          <w:sz w:val="32"/>
          <w:szCs w:val="32"/>
        </w:rPr>
        <w:t>The Office of the Police Ombudsman for Northern Ireland</w:t>
      </w:r>
      <w:r>
        <w:rPr>
          <w:rFonts w:cs="Arial"/>
          <w:b/>
          <w:i/>
          <w:sz w:val="32"/>
          <w:szCs w:val="32"/>
        </w:rPr>
        <w:fldChar w:fldCharType="end"/>
      </w:r>
      <w:bookmarkEnd w:id="0"/>
      <w:r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Pr="001E0DA6">
        <w:rPr>
          <w:rFonts w:cs="Arial"/>
          <w:b/>
          <w:i/>
          <w:sz w:val="32"/>
          <w:szCs w:val="32"/>
        </w:rPr>
        <w:fldChar w:fldCharType="separate"/>
      </w:r>
      <w:bookmarkStart w:id="1" w:name="Text2"/>
      <w:r w:rsidR="00B4168D" w:rsidRPr="001E0DA6">
        <w:rPr>
          <w:rFonts w:cs="Arial"/>
          <w:b/>
          <w:i/>
          <w:sz w:val="32"/>
          <w:szCs w:val="32"/>
        </w:rPr>
        <w:t>Acme Company</w:t>
      </w:r>
      <w:bookmarkEnd w:id="1"/>
      <w:r w:rsidRPr="001E0DA6">
        <w:rPr>
          <w:rFonts w:cs="Arial"/>
          <w:b/>
          <w:i/>
          <w:sz w:val="32"/>
          <w:szCs w:val="32"/>
        </w:rPr>
        <w:fldChar w:fldCharType="end"/>
      </w:r>
      <w:r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Pr="001E0DA6">
        <w:rPr>
          <w:rFonts w:cs="Arial"/>
          <w:b/>
          <w:i/>
          <w:sz w:val="32"/>
          <w:szCs w:val="32"/>
        </w:rPr>
        <w:fldChar w:fldCharType="end"/>
      </w:r>
      <w:r w:rsidRPr="001E0DA6">
        <w:rPr>
          <w:rFonts w:cs="Arial"/>
          <w:b/>
          <w:i/>
          <w:sz w:val="32"/>
          <w:szCs w:val="32"/>
        </w:rPr>
        <w:fldChar w:fldCharType="begin">
          <w:ffData>
            <w:name w:val="Text33"/>
            <w:enabled/>
            <w:calcOnExit w:val="0"/>
            <w:statusText w:type="text" w:val="Insert Name of Public Authority"/>
            <w:textInput/>
          </w:ffData>
        </w:fldChar>
      </w:r>
      <w:bookmarkStart w:id="2" w:name="Text33"/>
      <w:r w:rsidR="00FF029C" w:rsidRPr="001E0DA6">
        <w:rPr>
          <w:rFonts w:cs="Arial"/>
          <w:b/>
          <w:i/>
          <w:sz w:val="32"/>
          <w:szCs w:val="32"/>
        </w:rPr>
        <w:instrText xml:space="preserve"> FORMTEXT </w:instrText>
      </w:r>
      <w:r>
        <w:rPr>
          <w:rFonts w:cs="Arial"/>
          <w:b/>
          <w:i/>
          <w:sz w:val="32"/>
          <w:szCs w:val="32"/>
        </w:rPr>
      </w:r>
      <w:r>
        <w:rPr>
          <w:rFonts w:cs="Arial"/>
          <w:b/>
          <w:i/>
          <w:sz w:val="32"/>
          <w:szCs w:val="32"/>
        </w:rPr>
        <w:fldChar w:fldCharType="separate"/>
      </w:r>
      <w:r w:rsidRPr="001E0DA6">
        <w:rPr>
          <w:rFonts w:cs="Arial"/>
          <w:b/>
          <w:i/>
          <w:sz w:val="32"/>
          <w:szCs w:val="32"/>
        </w:rPr>
        <w:fldChar w:fldCharType="end"/>
      </w:r>
      <w:bookmarkEnd w:id="2"/>
    </w:p>
    <w:sdt>
      <w:sdtPr>
        <w:rPr>
          <w:rFonts w:cs="Arial"/>
          <w:b/>
          <w:i/>
          <w:noProof/>
          <w:sz w:val="32"/>
          <w:szCs w:val="24"/>
          <w:lang w:eastAsia="en-GB"/>
        </w:rPr>
        <w:id w:val="31857345"/>
        <w:picture/>
      </w:sdtPr>
      <w:sdtContent>
        <w:p w:rsidR="005826EE" w:rsidRPr="00A64A74" w:rsidRDefault="00C65C70" w:rsidP="00E31179">
          <w:pPr>
            <w:spacing w:before="120" w:after="120" w:line="480" w:lineRule="auto"/>
            <w:jc w:val="center"/>
            <w:rPr>
              <w:rFonts w:cs="Arial"/>
              <w:b/>
              <w:i/>
              <w:sz w:val="32"/>
              <w:szCs w:val="24"/>
            </w:rPr>
          </w:pPr>
          <w:r>
            <w:rPr>
              <w:rFonts w:cs="Arial"/>
              <w:b/>
              <w:i/>
              <w:noProof/>
              <w:sz w:val="32"/>
              <w:szCs w:val="24"/>
              <w:lang w:eastAsia="en-GB"/>
            </w:rPr>
            <w:drawing>
              <wp:inline distT="0" distB="0" distL="0" distR="0">
                <wp:extent cx="2260024" cy="839972"/>
                <wp:effectExtent l="19050" t="0" r="6926" b="0"/>
                <wp:docPr id="1" name="Picture 1" descr="\\pointexc\home_folders\mooreheadd\LOGOS\PONI%20Logo%20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exc\home_folders\mooreheadd\LOGOS\PONI%20Logo%20RGB_jpg.jpg"/>
                        <pic:cNvPicPr>
                          <a:picLocks noChangeAspect="1" noChangeArrowheads="1"/>
                        </pic:cNvPicPr>
                      </pic:nvPicPr>
                      <pic:blipFill>
                        <a:blip r:embed="rId8" cstate="print"/>
                        <a:srcRect/>
                        <a:stretch>
                          <a:fillRect/>
                        </a:stretch>
                      </pic:blipFill>
                      <pic:spPr bwMode="auto">
                        <a:xfrm>
                          <a:off x="0" y="0"/>
                          <a:ext cx="2260004" cy="839965"/>
                        </a:xfrm>
                        <a:prstGeom prst="rect">
                          <a:avLst/>
                        </a:prstGeom>
                        <a:noFill/>
                        <a:ln w="9525">
                          <a:noFill/>
                          <a:miter lim="800000"/>
                          <a:headEnd/>
                          <a:tailEnd/>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Annual Progress Report 201</w:t>
      </w:r>
      <w:r w:rsidR="000D0A70">
        <w:rPr>
          <w:rFonts w:cs="Arial"/>
          <w:b/>
          <w:sz w:val="32"/>
          <w:szCs w:val="24"/>
        </w:rPr>
        <w:t>5</w:t>
      </w:r>
      <w:r w:rsidRPr="009D26F3">
        <w:rPr>
          <w:rFonts w:cs="Arial"/>
          <w:b/>
          <w:sz w:val="32"/>
          <w:szCs w:val="24"/>
        </w:rPr>
        <w:t>-1</w:t>
      </w:r>
      <w:r w:rsidR="000D0A70">
        <w:rPr>
          <w:rFonts w:cs="Arial"/>
          <w:b/>
          <w:sz w:val="32"/>
          <w:szCs w:val="24"/>
        </w:rPr>
        <w:t>6</w:t>
      </w:r>
    </w:p>
    <w:tbl>
      <w:tblPr>
        <w:tblStyle w:val="TableGrid"/>
        <w:tblW w:w="4864" w:type="pct"/>
        <w:tblLook w:val="04A0"/>
      </w:tblPr>
      <w:tblGrid>
        <w:gridCol w:w="3749"/>
        <w:gridCol w:w="5816"/>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C65C70">
              <w:rPr>
                <w:rFonts w:cs="Arial"/>
                <w:sz w:val="24"/>
                <w:szCs w:val="24"/>
              </w:rPr>
              <w:t>David Moorehead</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C65C70">
              <w:rPr>
                <w:rFonts w:cs="Arial"/>
                <w:b/>
                <w:sz w:val="24"/>
                <w:szCs w:val="24"/>
              </w:rPr>
              <w:t>02890828632</w:t>
            </w:r>
          </w:p>
          <w:p w:rsidR="00D9233A" w:rsidRPr="009D26F3" w:rsidRDefault="00711EAE" w:rsidP="00711EAE">
            <w:pPr>
              <w:spacing w:before="120" w:after="120"/>
              <w:rPr>
                <w:rFonts w:cs="Arial"/>
                <w:sz w:val="24"/>
                <w:szCs w:val="24"/>
              </w:rPr>
            </w:pPr>
            <w:r>
              <w:rPr>
                <w:rFonts w:cs="Arial"/>
                <w:sz w:val="24"/>
                <w:szCs w:val="24"/>
              </w:rPr>
              <w:t xml:space="preserve">Email: </w:t>
            </w:r>
            <w:r>
              <w:rPr>
                <w:rFonts w:cs="Arial"/>
                <w:sz w:val="24"/>
                <w:szCs w:val="24"/>
              </w:rPr>
              <w:tab/>
            </w:r>
            <w:r w:rsidR="00C65C70">
              <w:rPr>
                <w:rFonts w:cs="Arial"/>
                <w:sz w:val="24"/>
                <w:szCs w:val="24"/>
              </w:rPr>
              <w:t>David.Moorehead@policeombudsman.org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A87CA3">
              <w:rPr>
                <w:rFonts w:cs="Arial"/>
                <w:sz w:val="24"/>
                <w:szCs w:val="24"/>
              </w:rPr>
              <w:fldChar w:fldCharType="begin">
                <w:ffData>
                  <w:name w:val="Check1"/>
                  <w:enabled/>
                  <w:calcOnExit w:val="0"/>
                  <w:checkBox>
                    <w:sizeAuto/>
                    <w:default w:val="1"/>
                  </w:checkBox>
                </w:ffData>
              </w:fldChar>
            </w:r>
            <w:bookmarkStart w:id="3" w:name="Check1"/>
            <w:r w:rsidR="00C65C70">
              <w:rPr>
                <w:rFonts w:cs="Arial"/>
                <w:sz w:val="24"/>
                <w:szCs w:val="24"/>
              </w:rPr>
              <w:instrText xml:space="preserve"> FORMCHECKBOX </w:instrText>
            </w:r>
            <w:r w:rsidR="00A87CA3">
              <w:rPr>
                <w:rFonts w:cs="Arial"/>
                <w:sz w:val="24"/>
                <w:szCs w:val="24"/>
              </w:rPr>
            </w:r>
            <w:r w:rsidR="00A87CA3">
              <w:rPr>
                <w:rFonts w:cs="Arial"/>
                <w:sz w:val="24"/>
                <w:szCs w:val="24"/>
              </w:rPr>
              <w:fldChar w:fldCharType="separate"/>
            </w:r>
            <w:r w:rsidR="00A87CA3">
              <w:rPr>
                <w:rFonts w:cs="Arial"/>
                <w:sz w:val="24"/>
                <w:szCs w:val="24"/>
              </w:rPr>
              <w:fldChar w:fldCharType="end"/>
            </w:r>
            <w:bookmarkEnd w:id="3"/>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A87CA3"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A87CA3" w:rsidRPr="009D26F3">
              <w:rPr>
                <w:rFonts w:cs="Arial"/>
                <w:sz w:val="24"/>
                <w:szCs w:val="24"/>
              </w:rPr>
            </w:r>
            <w:r w:rsidR="00A87CA3"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87CA3"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A87CA3"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A87CA3" w:rsidRPr="009D26F3">
              <w:rPr>
                <w:rFonts w:cs="Arial"/>
                <w:sz w:val="24"/>
                <w:szCs w:val="24"/>
              </w:rPr>
            </w:r>
            <w:r w:rsidR="00A87CA3"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87CA3"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A87CA3"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A87CA3" w:rsidRPr="009D26F3">
              <w:rPr>
                <w:rFonts w:cs="Arial"/>
                <w:sz w:val="24"/>
                <w:szCs w:val="24"/>
              </w:rPr>
            </w:r>
            <w:r w:rsidR="00A87CA3"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87CA3"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133839" w:rsidRPr="001E0DA6" w:rsidRDefault="00133839" w:rsidP="00C65C70">
            <w:pPr>
              <w:spacing w:before="120" w:after="120"/>
              <w:rPr>
                <w:rFonts w:cs="Arial"/>
                <w:sz w:val="24"/>
                <w:szCs w:val="24"/>
              </w:rPr>
            </w:pPr>
            <w:r>
              <w:rPr>
                <w:rFonts w:cs="Arial"/>
                <w:sz w:val="24"/>
                <w:szCs w:val="24"/>
              </w:rPr>
              <w:t xml:space="preserve">Documents published relating to our Equality Scheme can be found at: </w:t>
            </w:r>
            <w:r w:rsidR="00C65C70">
              <w:rPr>
                <w:rFonts w:cs="Arial"/>
                <w:sz w:val="24"/>
                <w:szCs w:val="24"/>
              </w:rPr>
              <w:t>www.policeombudsman.org</w:t>
            </w:r>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p w:rsidR="00E31179" w:rsidRPr="00772C68" w:rsidRDefault="00772C68" w:rsidP="00D9233A">
            <w:pPr>
              <w:spacing w:before="120" w:after="120"/>
              <w:rPr>
                <w:rFonts w:ascii="Monotype Corsiva" w:hAnsi="Monotype Corsiva" w:cs="Arial"/>
                <w:sz w:val="28"/>
                <w:szCs w:val="28"/>
              </w:rPr>
            </w:pPr>
            <w:r>
              <w:rPr>
                <w:rFonts w:ascii="Monotype Corsiva" w:hAnsi="Monotype Corsiva" w:cs="Arial"/>
                <w:sz w:val="28"/>
                <w:szCs w:val="28"/>
              </w:rPr>
              <w:t>David Moorehead (e-signed 31 August 2016).</w:t>
            </w: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reflects </w:t>
      </w:r>
      <w:r w:rsidR="000D0A70">
        <w:rPr>
          <w:rFonts w:cs="Arial"/>
          <w:b/>
          <w:sz w:val="28"/>
          <w:szCs w:val="28"/>
        </w:rPr>
        <w:t>progress made between April 2015 and March 2016</w:t>
      </w:r>
    </w:p>
    <w:p w:rsidR="006C6B75" w:rsidRDefault="006C6B75">
      <w:pPr>
        <w:rPr>
          <w:rFonts w:cs="Arial"/>
          <w:b/>
          <w:sz w:val="24"/>
          <w:szCs w:val="24"/>
        </w:rPr>
        <w:sectPr w:rsidR="006C6B75" w:rsidSect="006E47C9">
          <w:headerReference w:type="default" r:id="rId9"/>
          <w:footerReference w:type="default" r:id="rId10"/>
          <w:pgSz w:w="11907" w:h="16840" w:code="9"/>
          <w:pgMar w:top="1440" w:right="851" w:bottom="1440" w:left="144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
        <w:gridCol w:w="8907"/>
      </w:tblGrid>
      <w:tr w:rsidR="00A475A4" w:rsidRPr="00414698" w:rsidTr="001E0DA6">
        <w:tc>
          <w:tcPr>
            <w:tcW w:w="9549"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1E0DA6">
        <w:tc>
          <w:tcPr>
            <w:tcW w:w="9549" w:type="dxa"/>
            <w:gridSpan w:val="2"/>
          </w:tcPr>
          <w:p w:rsidR="00A475A4" w:rsidRPr="009D26F3" w:rsidRDefault="00A475A4" w:rsidP="00635290">
            <w:pPr>
              <w:rPr>
                <w:rFonts w:cs="Arial"/>
                <w:b/>
                <w:sz w:val="24"/>
                <w:szCs w:val="24"/>
              </w:rPr>
            </w:pPr>
          </w:p>
        </w:tc>
      </w:tr>
      <w:tr w:rsidR="00A475A4" w:rsidRPr="009D26F3" w:rsidTr="001E0DA6">
        <w:tc>
          <w:tcPr>
            <w:tcW w:w="642"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rsidR="000E3318" w:rsidRDefault="00CD146B" w:rsidP="000E3318">
            <w:pPr>
              <w:spacing w:before="120" w:after="120"/>
              <w:rPr>
                <w:rFonts w:cs="Arial"/>
                <w:sz w:val="24"/>
                <w:szCs w:val="24"/>
              </w:rPr>
            </w:pPr>
            <w:r>
              <w:rPr>
                <w:rFonts w:cs="Arial"/>
                <w:sz w:val="24"/>
                <w:szCs w:val="24"/>
              </w:rPr>
              <w:t>In 201</w:t>
            </w:r>
            <w:r w:rsidR="000D0A70">
              <w:rPr>
                <w:rFonts w:cs="Arial"/>
                <w:sz w:val="24"/>
                <w:szCs w:val="24"/>
              </w:rPr>
              <w:t>5</w:t>
            </w:r>
            <w:r>
              <w:rPr>
                <w:rFonts w:cs="Arial"/>
                <w:sz w:val="24"/>
                <w:szCs w:val="24"/>
              </w:rPr>
              <w:t>-1</w:t>
            </w:r>
            <w:r w:rsidR="000D0A70">
              <w:rPr>
                <w:rFonts w:cs="Arial"/>
                <w:sz w:val="24"/>
                <w:szCs w:val="24"/>
              </w:rPr>
              <w:t>6</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1E0DA6">
        <w:tc>
          <w:tcPr>
            <w:tcW w:w="642" w:type="dxa"/>
          </w:tcPr>
          <w:p w:rsidR="00A475A4" w:rsidRPr="009D26F3" w:rsidRDefault="00A475A4" w:rsidP="004429A5">
            <w:pPr>
              <w:spacing w:before="120" w:after="120"/>
              <w:rPr>
                <w:rFonts w:cs="Arial"/>
                <w:b/>
                <w:sz w:val="24"/>
                <w:szCs w:val="24"/>
              </w:rPr>
            </w:pPr>
          </w:p>
        </w:tc>
        <w:tc>
          <w:tcPr>
            <w:tcW w:w="8907" w:type="dxa"/>
          </w:tcPr>
          <w:p w:rsidR="00124763" w:rsidRDefault="00124763" w:rsidP="00124763">
            <w:pPr>
              <w:spacing w:before="120" w:after="120"/>
              <w:rPr>
                <w:rFonts w:cs="Arial"/>
                <w:sz w:val="24"/>
                <w:szCs w:val="24"/>
                <w:lang w:val="en-US"/>
              </w:rPr>
            </w:pPr>
            <w:r w:rsidRPr="00124763">
              <w:rPr>
                <w:rFonts w:cs="Arial"/>
                <w:sz w:val="24"/>
                <w:szCs w:val="24"/>
                <w:lang w:val="en-US"/>
              </w:rPr>
              <w:t xml:space="preserve">The Office continues to make a valuable contribution to the promotion of equality of opportunity and good relations within the Criminal Justice sector. </w:t>
            </w:r>
          </w:p>
          <w:p w:rsidR="00124763" w:rsidRDefault="00124763" w:rsidP="00124763">
            <w:pPr>
              <w:spacing w:before="120" w:after="120"/>
              <w:rPr>
                <w:rFonts w:cs="Arial"/>
                <w:sz w:val="24"/>
                <w:szCs w:val="24"/>
                <w:lang w:val="en-US"/>
              </w:rPr>
            </w:pPr>
            <w:r>
              <w:rPr>
                <w:rFonts w:cs="Arial"/>
                <w:sz w:val="24"/>
                <w:szCs w:val="24"/>
                <w:lang w:val="en-US"/>
              </w:rPr>
              <w:t>In this 15</w:t>
            </w:r>
            <w:r w:rsidRPr="00124763">
              <w:rPr>
                <w:rFonts w:cs="Arial"/>
                <w:sz w:val="24"/>
                <w:szCs w:val="24"/>
                <w:vertAlign w:val="superscript"/>
                <w:lang w:val="en-US"/>
              </w:rPr>
              <w:t>th</w:t>
            </w:r>
            <w:r>
              <w:rPr>
                <w:rFonts w:cs="Arial"/>
                <w:sz w:val="24"/>
                <w:szCs w:val="24"/>
                <w:lang w:val="en-US"/>
              </w:rPr>
              <w:t xml:space="preserve"> Anniversary year of the establishment of the Office, the Office </w:t>
            </w:r>
            <w:r w:rsidR="00065EBA">
              <w:rPr>
                <w:rFonts w:cs="Arial"/>
                <w:sz w:val="24"/>
                <w:szCs w:val="24"/>
                <w:lang w:val="en-US"/>
              </w:rPr>
              <w:t xml:space="preserve">continues to take pride </w:t>
            </w:r>
            <w:r>
              <w:rPr>
                <w:rFonts w:cs="Arial"/>
                <w:sz w:val="24"/>
                <w:szCs w:val="24"/>
                <w:lang w:val="en-US"/>
              </w:rPr>
              <w:t xml:space="preserve">in its ability to represent all citizens in the </w:t>
            </w:r>
            <w:r w:rsidR="00065EBA">
              <w:rPr>
                <w:rFonts w:cs="Arial"/>
                <w:sz w:val="24"/>
                <w:szCs w:val="24"/>
                <w:lang w:val="en-US"/>
              </w:rPr>
              <w:t xml:space="preserve">civilian </w:t>
            </w:r>
            <w:r>
              <w:rPr>
                <w:rFonts w:cs="Arial"/>
                <w:sz w:val="24"/>
                <w:szCs w:val="24"/>
                <w:lang w:val="en-US"/>
              </w:rPr>
              <w:t xml:space="preserve">oversight of the functions of the Police and other law enforcement agencies that come under its remit. During the reporting year the Office extended its remit to include complaints in relation to Immigration Officers, Designated Customs Officials and the National Crime Agency. </w:t>
            </w:r>
          </w:p>
          <w:p w:rsidR="00124763" w:rsidRDefault="00124763" w:rsidP="00124763">
            <w:pPr>
              <w:spacing w:before="120" w:after="120"/>
              <w:rPr>
                <w:rFonts w:cs="Arial"/>
                <w:sz w:val="24"/>
                <w:szCs w:val="24"/>
                <w:lang w:val="en-US"/>
              </w:rPr>
            </w:pPr>
            <w:r>
              <w:rPr>
                <w:rFonts w:cs="Arial"/>
                <w:sz w:val="24"/>
                <w:szCs w:val="24"/>
                <w:lang w:val="en-US"/>
              </w:rPr>
              <w:t xml:space="preserve">As a consequence of </w:t>
            </w:r>
            <w:r w:rsidR="009913CB">
              <w:rPr>
                <w:rFonts w:cs="Arial"/>
                <w:sz w:val="24"/>
                <w:szCs w:val="24"/>
                <w:lang w:val="en-US"/>
              </w:rPr>
              <w:t xml:space="preserve">the </w:t>
            </w:r>
            <w:r>
              <w:rPr>
                <w:rFonts w:cs="Arial"/>
                <w:sz w:val="24"/>
                <w:szCs w:val="24"/>
                <w:lang w:val="en-US"/>
              </w:rPr>
              <w:t>investigations</w:t>
            </w:r>
            <w:r w:rsidR="009913CB">
              <w:rPr>
                <w:rFonts w:cs="Arial"/>
                <w:sz w:val="24"/>
                <w:szCs w:val="24"/>
                <w:lang w:val="en-US"/>
              </w:rPr>
              <w:t xml:space="preserve"> that </w:t>
            </w:r>
            <w:r>
              <w:rPr>
                <w:rFonts w:cs="Arial"/>
                <w:sz w:val="24"/>
                <w:szCs w:val="24"/>
                <w:lang w:val="en-US"/>
              </w:rPr>
              <w:t>the Office</w:t>
            </w:r>
            <w:r w:rsidR="009913CB">
              <w:rPr>
                <w:rFonts w:cs="Arial"/>
                <w:sz w:val="24"/>
                <w:szCs w:val="24"/>
                <w:lang w:val="en-US"/>
              </w:rPr>
              <w:t xml:space="preserve"> undertakes, it</w:t>
            </w:r>
            <w:r>
              <w:rPr>
                <w:rFonts w:cs="Arial"/>
                <w:sz w:val="24"/>
                <w:szCs w:val="24"/>
                <w:lang w:val="en-US"/>
              </w:rPr>
              <w:t xml:space="preserve"> </w:t>
            </w:r>
            <w:r w:rsidR="009913CB">
              <w:rPr>
                <w:rFonts w:cs="Arial"/>
                <w:sz w:val="24"/>
                <w:szCs w:val="24"/>
                <w:lang w:val="en-US"/>
              </w:rPr>
              <w:t>makes a range of policy and procedural recommendations to the Police that are designed to lead to the improvement of policing standards. Of particular note during this last reporting year, the Office recommended that the Police give consideration to the introduction of a Domestic Violence Prevention Order similar to the Sexual Violence Protection Order. This recommendation would place an obligation on offenders to engage with relevant agencies in the Public Protection Arrangements resulting in improved risk management and protection of victims and the public.</w:t>
            </w:r>
            <w:r w:rsidR="00512618">
              <w:rPr>
                <w:rFonts w:cs="Arial"/>
                <w:sz w:val="24"/>
                <w:szCs w:val="24"/>
                <w:lang w:val="en-US"/>
              </w:rPr>
              <w:t xml:space="preserve"> </w:t>
            </w:r>
            <w:r w:rsidR="0079431E">
              <w:rPr>
                <w:rFonts w:cs="Arial"/>
                <w:sz w:val="24"/>
                <w:szCs w:val="24"/>
                <w:lang w:val="en-US"/>
              </w:rPr>
              <w:t>Although anyone can be a victim of domestic violence, t</w:t>
            </w:r>
            <w:r w:rsidR="00512618">
              <w:rPr>
                <w:rFonts w:cs="Arial"/>
                <w:sz w:val="24"/>
                <w:szCs w:val="24"/>
                <w:lang w:val="en-US"/>
              </w:rPr>
              <w:t>he victims of domestic violence are disproportionately female</w:t>
            </w:r>
            <w:r w:rsidR="0079431E">
              <w:rPr>
                <w:rFonts w:cs="Arial"/>
                <w:sz w:val="24"/>
                <w:szCs w:val="24"/>
                <w:lang w:val="en-US"/>
              </w:rPr>
              <w:t xml:space="preserve"> and it significantly impacts on children and young people as witnesses of abuse. Domestic violence is an equality issue.   </w:t>
            </w:r>
            <w:r w:rsidR="00512618">
              <w:rPr>
                <w:rFonts w:cs="Arial"/>
                <w:sz w:val="24"/>
                <w:szCs w:val="24"/>
                <w:lang w:val="en-US"/>
              </w:rPr>
              <w:t xml:space="preserve"> </w:t>
            </w:r>
          </w:p>
          <w:p w:rsidR="00540903" w:rsidRDefault="0079431E" w:rsidP="00124763">
            <w:pPr>
              <w:spacing w:before="120" w:after="120"/>
              <w:rPr>
                <w:rFonts w:cs="Arial"/>
                <w:sz w:val="24"/>
                <w:szCs w:val="24"/>
                <w:lang w:val="en-US"/>
              </w:rPr>
            </w:pPr>
            <w:r>
              <w:rPr>
                <w:rFonts w:cs="Arial"/>
                <w:sz w:val="24"/>
                <w:szCs w:val="24"/>
                <w:lang w:val="en-US"/>
              </w:rPr>
              <w:t xml:space="preserve">In addition the Office also recommended that the police review their arrangements for the detention of juveniles in accordance with the ACPO (Association of Chief Police Officers) </w:t>
            </w:r>
            <w:r w:rsidR="00540903">
              <w:rPr>
                <w:rFonts w:cs="Arial"/>
                <w:sz w:val="24"/>
                <w:szCs w:val="24"/>
                <w:lang w:val="en-US"/>
              </w:rPr>
              <w:t xml:space="preserve">guidelines, the Codes of Practice, Code of Ethics and public expectations. </w:t>
            </w:r>
            <w:r w:rsidR="00443B7A">
              <w:rPr>
                <w:rFonts w:cs="Arial"/>
                <w:sz w:val="24"/>
                <w:szCs w:val="24"/>
                <w:lang w:val="en-US"/>
              </w:rPr>
              <w:t xml:space="preserve">In recent years the Office has been committed to working with representative groups of children and young people such as the </w:t>
            </w:r>
            <w:r w:rsidR="00443B7A" w:rsidRPr="00443B7A">
              <w:rPr>
                <w:rFonts w:cs="Arial"/>
                <w:sz w:val="24"/>
                <w:szCs w:val="24"/>
                <w:lang w:val="en-US"/>
              </w:rPr>
              <w:t xml:space="preserve">Youth Justice Agency, </w:t>
            </w:r>
            <w:r w:rsidR="00443B7A">
              <w:rPr>
                <w:rFonts w:cs="Arial"/>
                <w:sz w:val="24"/>
                <w:szCs w:val="24"/>
                <w:lang w:val="en-US"/>
              </w:rPr>
              <w:t xml:space="preserve">Include Youth, </w:t>
            </w:r>
            <w:r w:rsidR="00443B7A" w:rsidRPr="00443B7A">
              <w:rPr>
                <w:rFonts w:cs="Arial"/>
                <w:sz w:val="24"/>
                <w:szCs w:val="24"/>
                <w:lang w:val="en-US"/>
              </w:rPr>
              <w:t>NICCY and the Children’s Law Centre.</w:t>
            </w:r>
            <w:r w:rsidR="00443B7A">
              <w:rPr>
                <w:rFonts w:cs="Arial"/>
                <w:sz w:val="24"/>
                <w:szCs w:val="24"/>
                <w:lang w:val="en-US"/>
              </w:rPr>
              <w:t xml:space="preserve"> During the last reporting year the Office undertook a </w:t>
            </w:r>
            <w:proofErr w:type="spellStart"/>
            <w:r w:rsidR="00443B7A">
              <w:rPr>
                <w:rFonts w:cs="Arial"/>
                <w:sz w:val="24"/>
                <w:szCs w:val="24"/>
                <w:lang w:val="en-US"/>
              </w:rPr>
              <w:t>Facebook</w:t>
            </w:r>
            <w:proofErr w:type="spellEnd"/>
            <w:r w:rsidR="00443B7A">
              <w:rPr>
                <w:rFonts w:cs="Arial"/>
                <w:sz w:val="24"/>
                <w:szCs w:val="24"/>
                <w:lang w:val="en-US"/>
              </w:rPr>
              <w:t xml:space="preserve"> advertising campaign (using a custom animated video) aimed at increasing awareness of the role of the Office among younger people. The results of the campaign have been </w:t>
            </w:r>
            <w:r w:rsidR="009D6A99">
              <w:rPr>
                <w:rFonts w:cs="Arial"/>
                <w:sz w:val="24"/>
                <w:szCs w:val="24"/>
                <w:lang w:val="en-US"/>
              </w:rPr>
              <w:t>very encouraging,</w:t>
            </w:r>
            <w:r w:rsidR="00443B7A">
              <w:rPr>
                <w:rFonts w:cs="Arial"/>
                <w:sz w:val="24"/>
                <w:szCs w:val="24"/>
                <w:lang w:val="en-US"/>
              </w:rPr>
              <w:t xml:space="preserve"> </w:t>
            </w:r>
            <w:r w:rsidR="009D6A99">
              <w:rPr>
                <w:rFonts w:cs="Arial"/>
                <w:sz w:val="24"/>
                <w:szCs w:val="24"/>
                <w:lang w:val="en-US"/>
              </w:rPr>
              <w:t xml:space="preserve">social media engagement with the 13-24 year age group increased by almost 200% after the campaign launch when compared with engagement prior to the launch. </w:t>
            </w:r>
          </w:p>
          <w:p w:rsidR="000F1B8E" w:rsidRPr="000F1B8E" w:rsidRDefault="000F1B8E" w:rsidP="000F1B8E">
            <w:pPr>
              <w:spacing w:before="120" w:after="120"/>
              <w:rPr>
                <w:rFonts w:cs="Arial"/>
                <w:sz w:val="24"/>
                <w:szCs w:val="24"/>
              </w:rPr>
            </w:pPr>
            <w:r w:rsidRPr="000F1B8E">
              <w:rPr>
                <w:rFonts w:cs="Arial"/>
                <w:sz w:val="24"/>
                <w:szCs w:val="24"/>
              </w:rPr>
              <w:t>On 6th November 2015 the Office’s 15</w:t>
            </w:r>
            <w:r w:rsidRPr="000F1B8E">
              <w:rPr>
                <w:rFonts w:cs="Arial"/>
                <w:sz w:val="24"/>
                <w:szCs w:val="24"/>
                <w:vertAlign w:val="superscript"/>
              </w:rPr>
              <w:t>th</w:t>
            </w:r>
            <w:r w:rsidRPr="000F1B8E">
              <w:rPr>
                <w:rFonts w:cs="Arial"/>
                <w:sz w:val="24"/>
                <w:szCs w:val="24"/>
              </w:rPr>
              <w:t xml:space="preserve"> anniversary was marked by using Twitter to give readers a greater insight into the work of the Office.  The posts attempted to give a snapshot of the type of work done on a typical day by Ombudsman staff.  Thirty individual tweets were posted on the day and re-tweeted by followers, meaning the </w:t>
            </w:r>
            <w:r w:rsidRPr="000F1B8E">
              <w:rPr>
                <w:rFonts w:cs="Arial"/>
                <w:sz w:val="24"/>
                <w:szCs w:val="24"/>
              </w:rPr>
              <w:lastRenderedPageBreak/>
              <w:t xml:space="preserve">posts were viewed on around 20,000 separate occasions. </w:t>
            </w:r>
          </w:p>
          <w:p w:rsidR="00716EED" w:rsidRDefault="00716EED" w:rsidP="00716EED">
            <w:pPr>
              <w:spacing w:before="120" w:after="120"/>
              <w:rPr>
                <w:rFonts w:cs="Arial"/>
                <w:sz w:val="24"/>
                <w:szCs w:val="24"/>
              </w:rPr>
            </w:pPr>
            <w:r w:rsidRPr="00716EED">
              <w:rPr>
                <w:rFonts w:cs="Arial"/>
                <w:sz w:val="24"/>
                <w:szCs w:val="24"/>
              </w:rPr>
              <w:t>In addition, the Office organised an awareness-raising event for young people, entitled ‘The Open Mind’, which involved a visit from a small group of Year 12 school pupils from Belfast.  During the visit the group were presented with a fictionalised complaint about the conduct of a police officer and asked to put themselves in the shoes of an investigator.  They were taken through each step of the investigation process, while being made aware throughout of the value of critical and flexible thinking and the value of keeping an open mind.</w:t>
            </w:r>
          </w:p>
          <w:p w:rsidR="00716EED" w:rsidRPr="00716EED" w:rsidRDefault="00716EED" w:rsidP="00716EED">
            <w:pPr>
              <w:spacing w:before="120" w:after="120"/>
              <w:rPr>
                <w:rFonts w:cs="Arial"/>
                <w:sz w:val="24"/>
                <w:szCs w:val="24"/>
              </w:rPr>
            </w:pPr>
            <w:r>
              <w:rPr>
                <w:rFonts w:cs="Arial"/>
                <w:sz w:val="24"/>
                <w:szCs w:val="24"/>
              </w:rPr>
              <w:t xml:space="preserve">During the reporting year the Office launched a significant accessibility </w:t>
            </w:r>
            <w:r w:rsidR="00690628">
              <w:rPr>
                <w:rFonts w:cs="Arial"/>
                <w:sz w:val="24"/>
                <w:szCs w:val="24"/>
              </w:rPr>
              <w:t>initiative</w:t>
            </w:r>
            <w:r>
              <w:rPr>
                <w:rFonts w:cs="Arial"/>
                <w:sz w:val="24"/>
                <w:szCs w:val="24"/>
              </w:rPr>
              <w:t xml:space="preserve"> by producing a video </w:t>
            </w:r>
            <w:r w:rsidRPr="00716EED">
              <w:rPr>
                <w:rFonts w:cs="Arial"/>
                <w:sz w:val="24"/>
                <w:szCs w:val="24"/>
              </w:rPr>
              <w:t>aimed at organisations offering advice and assi</w:t>
            </w:r>
            <w:r w:rsidR="00690628">
              <w:rPr>
                <w:rFonts w:cs="Arial"/>
                <w:sz w:val="24"/>
                <w:szCs w:val="24"/>
              </w:rPr>
              <w:t>stance to members of the public. Advice workers have told us that people sometimes turn to them</w:t>
            </w:r>
            <w:r w:rsidR="00F22047">
              <w:rPr>
                <w:rFonts w:cs="Arial"/>
                <w:sz w:val="24"/>
                <w:szCs w:val="24"/>
              </w:rPr>
              <w:t>,</w:t>
            </w:r>
            <w:r w:rsidR="00690628">
              <w:rPr>
                <w:rFonts w:cs="Arial"/>
                <w:sz w:val="24"/>
                <w:szCs w:val="24"/>
              </w:rPr>
              <w:t xml:space="preserve"> in the first instance</w:t>
            </w:r>
            <w:r w:rsidR="00F22047">
              <w:rPr>
                <w:rFonts w:cs="Arial"/>
                <w:sz w:val="24"/>
                <w:szCs w:val="24"/>
              </w:rPr>
              <w:t>,</w:t>
            </w:r>
            <w:r w:rsidR="00690628">
              <w:rPr>
                <w:rFonts w:cs="Arial"/>
                <w:sz w:val="24"/>
                <w:szCs w:val="24"/>
              </w:rPr>
              <w:t xml:space="preserve"> when they have a problem with the police</w:t>
            </w:r>
            <w:r w:rsidR="00F22047">
              <w:rPr>
                <w:rFonts w:cs="Arial"/>
                <w:sz w:val="24"/>
                <w:szCs w:val="24"/>
              </w:rPr>
              <w:t xml:space="preserve"> and are unsure of how to progress their issue</w:t>
            </w:r>
            <w:r w:rsidR="00690628">
              <w:rPr>
                <w:rFonts w:cs="Arial"/>
                <w:sz w:val="24"/>
                <w:szCs w:val="24"/>
              </w:rPr>
              <w:t xml:space="preserve">. The video </w:t>
            </w:r>
            <w:r w:rsidRPr="00716EED">
              <w:rPr>
                <w:rFonts w:cs="Arial"/>
                <w:sz w:val="24"/>
                <w:szCs w:val="24"/>
              </w:rPr>
              <w:t>explains the role of the Police Ombudsman’s Office</w:t>
            </w:r>
            <w:r w:rsidR="00690628">
              <w:rPr>
                <w:rFonts w:cs="Arial"/>
                <w:sz w:val="24"/>
                <w:szCs w:val="24"/>
              </w:rPr>
              <w:t xml:space="preserve">, </w:t>
            </w:r>
            <w:r w:rsidR="00F22047">
              <w:rPr>
                <w:rFonts w:cs="Arial"/>
                <w:sz w:val="24"/>
                <w:szCs w:val="24"/>
              </w:rPr>
              <w:t xml:space="preserve">and clarifies (where confusion may exist) which organisation is best placed to deal with policing issues, such as the Policing Board or the local Policing Community Safety Partnerships.  The video </w:t>
            </w:r>
            <w:r w:rsidR="00690628">
              <w:rPr>
                <w:rFonts w:cs="Arial"/>
                <w:sz w:val="24"/>
                <w:szCs w:val="24"/>
              </w:rPr>
              <w:t xml:space="preserve">is called </w:t>
            </w:r>
            <w:r w:rsidR="00F22047">
              <w:rPr>
                <w:rFonts w:cs="Arial"/>
                <w:sz w:val="24"/>
                <w:szCs w:val="24"/>
              </w:rPr>
              <w:t>“Helping You to Help Others”</w:t>
            </w:r>
            <w:r w:rsidRPr="00716EED">
              <w:rPr>
                <w:rFonts w:cs="Arial"/>
                <w:sz w:val="24"/>
                <w:szCs w:val="24"/>
              </w:rPr>
              <w:t xml:space="preserve">. </w:t>
            </w:r>
          </w:p>
          <w:p w:rsidR="00716EED" w:rsidRDefault="00716EED" w:rsidP="00716EED">
            <w:pPr>
              <w:spacing w:before="120" w:after="120"/>
              <w:rPr>
                <w:rFonts w:cs="Arial"/>
                <w:sz w:val="24"/>
                <w:szCs w:val="24"/>
              </w:rPr>
            </w:pPr>
            <w:r>
              <w:rPr>
                <w:rFonts w:cs="Arial"/>
                <w:sz w:val="24"/>
                <w:szCs w:val="24"/>
              </w:rPr>
              <w:t xml:space="preserve"> On a wider perspective the Office the Office issued 47 press releases during the reporting year and held a</w:t>
            </w:r>
            <w:r w:rsidRPr="00716EED">
              <w:rPr>
                <w:rFonts w:cs="Arial"/>
                <w:sz w:val="24"/>
                <w:szCs w:val="24"/>
              </w:rPr>
              <w:t xml:space="preserve"> total of 36 separate meetings with a range of groups, including schools and community organisations, as well as political representatives and international visitors.  </w:t>
            </w:r>
          </w:p>
          <w:p w:rsidR="00716EED" w:rsidRPr="00716EED" w:rsidRDefault="00716EED" w:rsidP="00716EED">
            <w:pPr>
              <w:spacing w:before="120" w:after="120"/>
              <w:rPr>
                <w:rFonts w:cs="Arial"/>
                <w:sz w:val="24"/>
                <w:szCs w:val="24"/>
              </w:rPr>
            </w:pPr>
          </w:p>
          <w:p w:rsidR="000F1B8E" w:rsidRPr="000F1B8E" w:rsidRDefault="000F1B8E" w:rsidP="000F1B8E">
            <w:pPr>
              <w:spacing w:before="120" w:after="120"/>
              <w:rPr>
                <w:rFonts w:cs="Arial"/>
                <w:sz w:val="24"/>
                <w:szCs w:val="24"/>
              </w:rPr>
            </w:pPr>
          </w:p>
          <w:p w:rsidR="000F1B8E" w:rsidRDefault="000F1B8E" w:rsidP="00124763">
            <w:pPr>
              <w:spacing w:before="120" w:after="120"/>
              <w:rPr>
                <w:rFonts w:cs="Arial"/>
                <w:sz w:val="24"/>
                <w:szCs w:val="24"/>
                <w:lang w:val="en-US"/>
              </w:rPr>
            </w:pPr>
          </w:p>
          <w:p w:rsidR="000F1B8E" w:rsidRDefault="000F1B8E" w:rsidP="00124763">
            <w:pPr>
              <w:spacing w:before="120" w:after="120"/>
              <w:rPr>
                <w:rFonts w:cs="Arial"/>
                <w:sz w:val="24"/>
                <w:szCs w:val="24"/>
                <w:lang w:val="en-US"/>
              </w:rPr>
            </w:pPr>
          </w:p>
          <w:p w:rsidR="00512618" w:rsidRPr="00124763" w:rsidRDefault="00512618" w:rsidP="00124763">
            <w:pPr>
              <w:spacing w:before="120" w:after="120"/>
              <w:rPr>
                <w:rFonts w:cs="Arial"/>
                <w:sz w:val="24"/>
                <w:szCs w:val="24"/>
                <w:lang w:val="en-US"/>
              </w:rPr>
            </w:pPr>
          </w:p>
          <w:p w:rsidR="00C06046" w:rsidRPr="009D26F3" w:rsidRDefault="00C06046" w:rsidP="001E0DA6">
            <w:pPr>
              <w:spacing w:before="120" w:after="120"/>
              <w:rPr>
                <w:rFonts w:cs="Arial"/>
                <w:sz w:val="24"/>
                <w:szCs w:val="24"/>
              </w:rPr>
            </w:pPr>
          </w:p>
        </w:tc>
      </w:tr>
      <w:tr w:rsidR="00A475A4" w:rsidRPr="009D26F3" w:rsidTr="001E0DA6">
        <w:tc>
          <w:tcPr>
            <w:tcW w:w="642" w:type="dxa"/>
          </w:tcPr>
          <w:p w:rsidR="00A475A4" w:rsidRPr="009D26F3" w:rsidRDefault="00A475A4" w:rsidP="00635290">
            <w:pPr>
              <w:rPr>
                <w:rFonts w:cs="Arial"/>
                <w:b/>
                <w:sz w:val="24"/>
                <w:szCs w:val="24"/>
              </w:rPr>
            </w:pPr>
          </w:p>
        </w:tc>
        <w:tc>
          <w:tcPr>
            <w:tcW w:w="8907" w:type="dxa"/>
          </w:tcPr>
          <w:p w:rsidR="00A475A4" w:rsidRPr="009D26F3" w:rsidRDefault="00A475A4" w:rsidP="00635290">
            <w:pPr>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1"/>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
        <w:gridCol w:w="8907"/>
      </w:tblGrid>
      <w:tr w:rsidR="00BD0781" w:rsidRPr="009D26F3" w:rsidTr="001E0DA6">
        <w:tc>
          <w:tcPr>
            <w:tcW w:w="642"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rsidR="00BD0781" w:rsidRPr="009D26F3" w:rsidRDefault="008E3B4B" w:rsidP="001B1713">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in 2015-16</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1E0DA6">
        <w:tc>
          <w:tcPr>
            <w:tcW w:w="642" w:type="dxa"/>
          </w:tcPr>
          <w:p w:rsidR="00BD0781" w:rsidRPr="009D26F3" w:rsidRDefault="00BD0781" w:rsidP="004429A5">
            <w:pPr>
              <w:spacing w:before="120" w:after="120"/>
              <w:rPr>
                <w:rFonts w:cs="Arial"/>
                <w:b/>
                <w:sz w:val="24"/>
                <w:szCs w:val="24"/>
              </w:rPr>
            </w:pPr>
          </w:p>
        </w:tc>
        <w:tc>
          <w:tcPr>
            <w:tcW w:w="8907" w:type="dxa"/>
            <w:vAlign w:val="center"/>
          </w:tcPr>
          <w:p w:rsidR="009B577E" w:rsidRDefault="009B577E" w:rsidP="009B577E">
            <w:pPr>
              <w:spacing w:before="120" w:after="120"/>
              <w:rPr>
                <w:rFonts w:cs="Arial"/>
                <w:sz w:val="24"/>
                <w:szCs w:val="24"/>
              </w:rPr>
            </w:pPr>
            <w:r>
              <w:rPr>
                <w:rFonts w:cs="Arial"/>
                <w:sz w:val="24"/>
                <w:szCs w:val="24"/>
              </w:rPr>
              <w:t xml:space="preserve">The Office identified some underrepresentation in the makeup of its workforce, in particular males at lower grades and females at senior grades. The opportunities for affirmative action measures have been limited due to the lower levels of recruitment arising from budget constraints over the last 5 years. However, where recruitment has taken place welcome statements have been used to attract candidates from the underrepresented group. </w:t>
            </w:r>
          </w:p>
          <w:p w:rsidR="009B577E" w:rsidRDefault="009B577E" w:rsidP="009B577E">
            <w:pPr>
              <w:spacing w:before="120" w:after="120"/>
              <w:rPr>
                <w:rFonts w:cs="Arial"/>
                <w:sz w:val="24"/>
                <w:szCs w:val="24"/>
              </w:rPr>
            </w:pPr>
            <w:r>
              <w:rPr>
                <w:rFonts w:cs="Arial"/>
                <w:sz w:val="24"/>
                <w:szCs w:val="24"/>
              </w:rPr>
              <w:t>Overall when compared to the Northern Ireland monitored workforce statistics, the Office performs well with 47.6% male and 52.4% female and for community background 52.6% Protestant and 47.6% Roman Catholic, very close to the NI monitored statistics.</w:t>
            </w:r>
          </w:p>
          <w:p w:rsidR="008E3B4B" w:rsidRPr="009D26F3" w:rsidRDefault="00AB1490" w:rsidP="00AB1490">
            <w:pPr>
              <w:spacing w:before="120" w:after="120"/>
              <w:rPr>
                <w:rFonts w:cs="Arial"/>
                <w:sz w:val="24"/>
                <w:szCs w:val="24"/>
              </w:rPr>
            </w:pPr>
            <w:r>
              <w:rPr>
                <w:rFonts w:cs="Arial"/>
                <w:sz w:val="24"/>
                <w:szCs w:val="24"/>
              </w:rPr>
              <w:t>In areas where service delivery has attracted less customer satisfaction from certain groups, the Office continues to monitor satisfaction levels. However, during 2015/16 the Office specially addressed disability issues with the delivery of training for staff in Understanding Mental Health Issues</w:t>
            </w:r>
            <w:r w:rsidR="009B577E">
              <w:rPr>
                <w:rFonts w:cs="Arial"/>
                <w:sz w:val="24"/>
                <w:szCs w:val="24"/>
              </w:rPr>
              <w:t xml:space="preserve"> </w:t>
            </w:r>
            <w:r>
              <w:rPr>
                <w:rFonts w:cs="Arial"/>
                <w:sz w:val="24"/>
                <w:szCs w:val="24"/>
              </w:rPr>
              <w:t xml:space="preserve">and Safeguarding Vulnerable Persons. The Office will continue to monitor customer satisfaction and investigate any trends that may require attention. </w:t>
            </w:r>
            <w:r w:rsidR="009B577E">
              <w:rPr>
                <w:rFonts w:cs="Arial"/>
                <w:sz w:val="24"/>
                <w:szCs w:val="24"/>
              </w:rPr>
              <w:t xml:space="preserve">  </w:t>
            </w:r>
          </w:p>
        </w:tc>
      </w:tr>
      <w:tr w:rsidR="00BD0781" w:rsidRPr="009D26F3" w:rsidTr="001E0DA6">
        <w:tc>
          <w:tcPr>
            <w:tcW w:w="642" w:type="dxa"/>
          </w:tcPr>
          <w:p w:rsidR="00BD0781" w:rsidRPr="009D26F3" w:rsidRDefault="00BD0781" w:rsidP="00635290">
            <w:pPr>
              <w:rPr>
                <w:rFonts w:cs="Arial"/>
                <w:b/>
                <w:sz w:val="24"/>
                <w:szCs w:val="24"/>
              </w:rPr>
            </w:pPr>
          </w:p>
        </w:tc>
        <w:tc>
          <w:tcPr>
            <w:tcW w:w="8907" w:type="dxa"/>
          </w:tcPr>
          <w:p w:rsidR="00BD0781" w:rsidRPr="009D26F3" w:rsidRDefault="00BD0781" w:rsidP="00635290">
            <w:pPr>
              <w:rPr>
                <w:rFonts w:cs="Arial"/>
                <w:sz w:val="24"/>
                <w:szCs w:val="24"/>
              </w:rPr>
            </w:pPr>
          </w:p>
        </w:tc>
      </w:tr>
    </w:tbl>
    <w:p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5"/>
        <w:gridCol w:w="673"/>
        <w:gridCol w:w="1564"/>
        <w:gridCol w:w="722"/>
        <w:gridCol w:w="1974"/>
        <w:gridCol w:w="854"/>
        <w:gridCol w:w="312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1B1713">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9D26F3" w:rsidRPr="009D26F3">
              <w:rPr>
                <w:rFonts w:cs="Arial"/>
                <w:sz w:val="24"/>
                <w:szCs w:val="24"/>
              </w:rPr>
              <w:t>201</w:t>
            </w:r>
            <w:r w:rsidR="000D0A70">
              <w:rPr>
                <w:rFonts w:cs="Arial"/>
                <w:sz w:val="24"/>
                <w:szCs w:val="24"/>
              </w:rPr>
              <w:t>5</w:t>
            </w:r>
            <w:r w:rsidR="009D26F3" w:rsidRPr="009D26F3">
              <w:rPr>
                <w:rFonts w:cs="Arial"/>
                <w:sz w:val="24"/>
                <w:szCs w:val="24"/>
              </w:rPr>
              <w:t>-1</w:t>
            </w:r>
            <w:r w:rsidR="000D0A70">
              <w:rPr>
                <w:rFonts w:cs="Arial"/>
                <w:sz w:val="24"/>
                <w:szCs w:val="24"/>
              </w:rPr>
              <w:t>6</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A87CA3"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AB1490">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Default="00AB1490" w:rsidP="00F57D1D">
            <w:pPr>
              <w:spacing w:before="120" w:after="120"/>
              <w:rPr>
                <w:rFonts w:cs="Arial"/>
                <w:sz w:val="24"/>
                <w:szCs w:val="24"/>
              </w:rPr>
            </w:pPr>
            <w:r>
              <w:rPr>
                <w:rFonts w:cs="Arial"/>
                <w:sz w:val="24"/>
                <w:szCs w:val="24"/>
              </w:rPr>
              <w:t xml:space="preserve">The Office commitment to review policies resulted in a change to the Office Personnel Security Policy. </w:t>
            </w:r>
            <w:r w:rsidR="00246318">
              <w:rPr>
                <w:rFonts w:cs="Arial"/>
                <w:sz w:val="24"/>
                <w:szCs w:val="24"/>
              </w:rPr>
              <w:t xml:space="preserve">The Office takes guidance from the Cabinet Office on </w:t>
            </w:r>
            <w:r w:rsidR="00F57D1D">
              <w:rPr>
                <w:rFonts w:cs="Arial"/>
                <w:sz w:val="24"/>
                <w:szCs w:val="24"/>
              </w:rPr>
              <w:t>how to manage national</w:t>
            </w:r>
            <w:r w:rsidR="00246318">
              <w:rPr>
                <w:rFonts w:cs="Arial"/>
                <w:sz w:val="24"/>
                <w:szCs w:val="24"/>
              </w:rPr>
              <w:t xml:space="preserve"> security risks associated with job roles within the Office.</w:t>
            </w:r>
            <w:r w:rsidR="008A5C00">
              <w:rPr>
                <w:rFonts w:cs="Arial"/>
                <w:sz w:val="24"/>
                <w:szCs w:val="24"/>
              </w:rPr>
              <w:t xml:space="preserve"> </w:t>
            </w:r>
            <w:r w:rsidR="008A5C00">
              <w:rPr>
                <w:rFonts w:cs="Arial"/>
                <w:sz w:val="24"/>
                <w:szCs w:val="24"/>
              </w:rPr>
              <w:t>The Office included Cabi</w:t>
            </w:r>
            <w:r w:rsidR="00772C68">
              <w:rPr>
                <w:rFonts w:cs="Arial"/>
                <w:sz w:val="24"/>
                <w:szCs w:val="24"/>
              </w:rPr>
              <w:t>n</w:t>
            </w:r>
            <w:r w:rsidR="008A5C00">
              <w:rPr>
                <w:rFonts w:cs="Arial"/>
                <w:sz w:val="24"/>
                <w:szCs w:val="24"/>
              </w:rPr>
              <w:t>et Office guidance within its Personnel Security Policy which</w:t>
            </w:r>
            <w:r w:rsidR="00246318">
              <w:rPr>
                <w:rFonts w:cs="Arial"/>
                <w:sz w:val="24"/>
                <w:szCs w:val="24"/>
              </w:rPr>
              <w:t xml:space="preserve"> informed managers to be </w:t>
            </w:r>
            <w:r w:rsidR="00F57D1D">
              <w:rPr>
                <w:rFonts w:cs="Arial"/>
                <w:sz w:val="24"/>
                <w:szCs w:val="24"/>
              </w:rPr>
              <w:t xml:space="preserve">alert to </w:t>
            </w:r>
            <w:r w:rsidR="00246318">
              <w:rPr>
                <w:rFonts w:cs="Arial"/>
                <w:sz w:val="24"/>
                <w:szCs w:val="24"/>
              </w:rPr>
              <w:t xml:space="preserve">certain vulnerable groups of staff that may be susceptible to pressure or improper influence, one such group identified was the LGBT community.  </w:t>
            </w:r>
          </w:p>
          <w:p w:rsidR="00F57D1D" w:rsidRDefault="00F57D1D" w:rsidP="00F57D1D">
            <w:pPr>
              <w:spacing w:before="120" w:after="120"/>
              <w:rPr>
                <w:rFonts w:cs="Arial"/>
                <w:sz w:val="24"/>
                <w:szCs w:val="24"/>
              </w:rPr>
            </w:pPr>
            <w:r>
              <w:rPr>
                <w:rFonts w:cs="Arial"/>
                <w:sz w:val="24"/>
                <w:szCs w:val="24"/>
              </w:rPr>
              <w:t xml:space="preserve">As a consequence of the circulation of the personnel security policy, a member of staff raised a concern that the wording of the document could cause offence to members of the LGBT community. </w:t>
            </w:r>
          </w:p>
          <w:p w:rsidR="00F57D1D" w:rsidRPr="009D26F3" w:rsidRDefault="00F57D1D" w:rsidP="00772C68">
            <w:pPr>
              <w:spacing w:before="120" w:after="120"/>
              <w:rPr>
                <w:rFonts w:cs="Arial"/>
                <w:sz w:val="24"/>
                <w:szCs w:val="24"/>
              </w:rPr>
            </w:pPr>
            <w:r>
              <w:rPr>
                <w:rFonts w:cs="Arial"/>
                <w:sz w:val="24"/>
                <w:szCs w:val="24"/>
              </w:rPr>
              <w:t>The Office immediately withdrew and reviewed the policy, consulted with LGBT community representatives</w:t>
            </w:r>
            <w:r w:rsidR="008A5C00">
              <w:rPr>
                <w:rFonts w:cs="Arial"/>
                <w:sz w:val="24"/>
                <w:szCs w:val="24"/>
              </w:rPr>
              <w:t xml:space="preserve"> and the Cabinet Office who removed the reference to LGBT from their guidance</w:t>
            </w:r>
            <w:r w:rsidR="00772C68">
              <w:rPr>
                <w:rFonts w:cs="Arial"/>
                <w:sz w:val="24"/>
                <w:szCs w:val="24"/>
              </w:rPr>
              <w:t xml:space="preserve">. </w:t>
            </w:r>
            <w:r w:rsidR="008A5C00">
              <w:rPr>
                <w:rFonts w:cs="Arial"/>
                <w:sz w:val="24"/>
                <w:szCs w:val="24"/>
              </w:rPr>
              <w:t>T</w:t>
            </w:r>
            <w:r>
              <w:rPr>
                <w:rFonts w:cs="Arial"/>
                <w:sz w:val="24"/>
                <w:szCs w:val="24"/>
              </w:rPr>
              <w:t>he revised policy</w:t>
            </w:r>
            <w:r w:rsidR="008A5C00">
              <w:rPr>
                <w:rFonts w:cs="Arial"/>
                <w:sz w:val="24"/>
                <w:szCs w:val="24"/>
              </w:rPr>
              <w:t xml:space="preserve"> with revised Cabinet Office guidance has now been re-issued by the </w:t>
            </w:r>
            <w:r w:rsidR="00772C68">
              <w:rPr>
                <w:rFonts w:cs="Arial"/>
                <w:sz w:val="24"/>
                <w:szCs w:val="24"/>
              </w:rPr>
              <w:t xml:space="preserve">Office. </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7464C1" w:rsidP="0034389E">
            <w:pPr>
              <w:spacing w:before="120" w:after="120"/>
              <w:rPr>
                <w:rFonts w:cs="Arial"/>
                <w:sz w:val="24"/>
                <w:szCs w:val="24"/>
              </w:rPr>
            </w:pPr>
            <w:r>
              <w:rPr>
                <w:rFonts w:cs="Arial"/>
                <w:sz w:val="24"/>
                <w:szCs w:val="24"/>
              </w:rPr>
              <w:t xml:space="preserve">Confidence that the LGBT community will not perceive there to be any implied differential in treatment. </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A87CA3"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A87CA3"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A87CA3"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A87CA3"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A87CA3"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A87CA3" w:rsidP="00BD0781">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F57D1D">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F57D1D" w:rsidP="00BD0781">
            <w:pPr>
              <w:spacing w:before="120" w:after="120"/>
              <w:rPr>
                <w:rFonts w:cs="Arial"/>
                <w:sz w:val="24"/>
                <w:szCs w:val="24"/>
              </w:rPr>
            </w:pPr>
            <w:r>
              <w:rPr>
                <w:rFonts w:cs="Arial"/>
                <w:sz w:val="24"/>
                <w:szCs w:val="24"/>
              </w:rPr>
              <w:t>Staff concern raised</w:t>
            </w:r>
          </w:p>
        </w:tc>
      </w:tr>
    </w:tbl>
    <w:p w:rsidR="009D6A99" w:rsidRDefault="009D6A99"/>
    <w:p w:rsidR="009D6A99" w:rsidRDefault="009D6A99">
      <w:r>
        <w:br w:type="page"/>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9D2CD7" w:rsidRPr="00D96F15" w:rsidRDefault="00BD0781" w:rsidP="00414698">
            <w:pPr>
              <w:spacing w:before="120" w:after="120"/>
              <w:rPr>
                <w:rFonts w:cs="Arial"/>
                <w:b/>
                <w:sz w:val="16"/>
                <w:szCs w:val="16"/>
              </w:rPr>
            </w:pPr>
            <w:r w:rsidRPr="00414698">
              <w:rPr>
                <w:rFonts w:cs="Arial"/>
                <w:b/>
                <w:sz w:val="28"/>
                <w:szCs w:val="28"/>
              </w:rPr>
              <w:lastRenderedPageBreak/>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the 201</w:t>
            </w:r>
            <w:r w:rsidR="000D0A70">
              <w:rPr>
                <w:sz w:val="24"/>
                <w:szCs w:val="24"/>
              </w:rPr>
              <w:t>5</w:t>
            </w:r>
            <w:r w:rsidR="009D26F3" w:rsidRPr="009D26F3">
              <w:rPr>
                <w:sz w:val="24"/>
                <w:szCs w:val="24"/>
              </w:rPr>
              <w:t>-1</w:t>
            </w:r>
            <w:r w:rsidR="000D0A70">
              <w:rPr>
                <w:sz w:val="24"/>
                <w:szCs w:val="24"/>
              </w:rPr>
              <w:t>6</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4" w:name="Check2"/>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bookmarkEnd w:id="4"/>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D6A99">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9D26F3" w:rsidRDefault="00A87CA3" w:rsidP="00F305B6">
            <w:pPr>
              <w:spacing w:before="120" w:after="120"/>
              <w:rPr>
                <w:rFonts w:cs="Arial"/>
                <w:sz w:val="24"/>
                <w:szCs w:val="24"/>
              </w:rPr>
            </w:pPr>
            <w:r w:rsidRPr="009D26F3">
              <w:rPr>
                <w:rFonts w:cs="Arial"/>
                <w:sz w:val="24"/>
                <w:szCs w:val="24"/>
              </w:rPr>
              <w:fldChar w:fldCharType="begin">
                <w:ffData>
                  <w:name w:val="Text22"/>
                  <w:enabled/>
                  <w:calcOnExit w:val="0"/>
                  <w:textInput/>
                </w:ffData>
              </w:fldChar>
            </w:r>
            <w:bookmarkStart w:id="5" w:name="Text22"/>
            <w:r w:rsidR="00F305B6"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Pr="009D26F3">
              <w:rPr>
                <w:rFonts w:cs="Arial"/>
                <w:sz w:val="24"/>
                <w:szCs w:val="24"/>
              </w:rPr>
              <w:fldChar w:fldCharType="end"/>
            </w:r>
            <w:bookmarkEnd w:id="5"/>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9D26F3" w:rsidRPr="009D26F3">
              <w:rPr>
                <w:sz w:val="24"/>
                <w:szCs w:val="24"/>
              </w:rPr>
              <w:t>201</w:t>
            </w:r>
            <w:r w:rsidR="000D0A70">
              <w:rPr>
                <w:sz w:val="24"/>
                <w:szCs w:val="24"/>
              </w:rPr>
              <w:t>5</w:t>
            </w:r>
            <w:r w:rsidR="009D26F3" w:rsidRPr="009D26F3">
              <w:rPr>
                <w:sz w:val="24"/>
                <w:szCs w:val="24"/>
              </w:rPr>
              <w:t>-1</w:t>
            </w:r>
            <w:r w:rsidR="000D0A70">
              <w:rPr>
                <w:sz w:val="24"/>
                <w:szCs w:val="24"/>
              </w:rPr>
              <w:t>6</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sidR="007464C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7464C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A87CA3" w:rsidP="00F25F10">
            <w:pPr>
              <w:spacing w:before="120" w:after="120"/>
              <w:rPr>
                <w:rFonts w:cs="Arial"/>
                <w:sz w:val="24"/>
                <w:szCs w:val="24"/>
              </w:rPr>
            </w:pPr>
            <w:r w:rsidRPr="009D26F3">
              <w:rPr>
                <w:rFonts w:cs="Arial"/>
                <w:sz w:val="24"/>
                <w:szCs w:val="24"/>
              </w:rPr>
              <w:fldChar w:fldCharType="begin">
                <w:ffData>
                  <w:name w:val="Text23"/>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F305B6" w:rsidP="00F305B6">
            <w:pPr>
              <w:spacing w:before="120" w:after="120"/>
              <w:rPr>
                <w:rFonts w:cs="Arial"/>
                <w:b/>
                <w:sz w:val="24"/>
                <w:szCs w:val="24"/>
                <w:highlight w:val="yellow"/>
              </w:rPr>
            </w:pPr>
          </w:p>
        </w:tc>
        <w:tc>
          <w:tcPr>
            <w:tcW w:w="9037" w:type="dxa"/>
            <w:gridSpan w:val="31"/>
          </w:tcPr>
          <w:p w:rsidR="00F305B6" w:rsidRPr="009D26F3" w:rsidRDefault="00F305B6" w:rsidP="001B1713">
            <w:pPr>
              <w:spacing w:before="120" w:after="120"/>
              <w:rPr>
                <w:rFonts w:cs="Arial"/>
                <w:sz w:val="24"/>
                <w:szCs w:val="24"/>
              </w:rPr>
            </w:pPr>
            <w:r w:rsidRPr="009D26F3">
              <w:rPr>
                <w:rFonts w:cs="Arial"/>
                <w:sz w:val="24"/>
                <w:szCs w:val="24"/>
              </w:rPr>
              <w:t xml:space="preserve">In the </w:t>
            </w:r>
            <w:r w:rsidR="009D26F3" w:rsidRPr="009D26F3">
              <w:rPr>
                <w:rFonts w:cs="Arial"/>
                <w:sz w:val="24"/>
                <w:szCs w:val="24"/>
              </w:rPr>
              <w:t>201</w:t>
            </w:r>
            <w:r w:rsidR="000D0A70">
              <w:rPr>
                <w:rFonts w:cs="Arial"/>
                <w:sz w:val="24"/>
                <w:szCs w:val="24"/>
              </w:rPr>
              <w:t>5</w:t>
            </w:r>
            <w:r w:rsidR="009D26F3" w:rsidRPr="009D26F3">
              <w:rPr>
                <w:rFonts w:cs="Arial"/>
                <w:sz w:val="24"/>
                <w:szCs w:val="24"/>
              </w:rPr>
              <w:t>-1</w:t>
            </w:r>
            <w:r w:rsidR="000D0A70">
              <w:rPr>
                <w:rFonts w:cs="Arial"/>
                <w:sz w:val="24"/>
                <w:szCs w:val="24"/>
              </w:rPr>
              <w:t>6</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D6A99">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w:t>
            </w:r>
            <w:r w:rsidRPr="009D26F3">
              <w:rPr>
                <w:rFonts w:cs="Arial"/>
                <w:sz w:val="24"/>
                <w:szCs w:val="24"/>
              </w:rPr>
              <w:lastRenderedPageBreak/>
              <w:t>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4365C2">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does not coincide with this 2015-16</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9D26F3" w:rsidRDefault="00A87CA3"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6"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6"/>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Within the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9D6A99" w:rsidP="00F305B6">
            <w:pPr>
              <w:rPr>
                <w:sz w:val="24"/>
                <w:szCs w:val="24"/>
              </w:rPr>
            </w:pPr>
            <w:r>
              <w:rPr>
                <w:sz w:val="24"/>
                <w:szCs w:val="24"/>
              </w:rPr>
              <w:t>1</w:t>
            </w:r>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9D6A99" w:rsidP="00F305B6">
            <w:pPr>
              <w:rPr>
                <w:sz w:val="24"/>
                <w:szCs w:val="24"/>
              </w:rPr>
            </w:pPr>
            <w:r>
              <w:rPr>
                <w:sz w:val="24"/>
                <w:szCs w:val="24"/>
              </w:rPr>
              <w:t>7</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9D6A99" w:rsidP="00F305B6">
            <w:pPr>
              <w:rPr>
                <w:sz w:val="24"/>
                <w:szCs w:val="24"/>
              </w:rPr>
            </w:pPr>
            <w:r>
              <w:rPr>
                <w:sz w:val="24"/>
                <w:szCs w:val="24"/>
              </w:rPr>
              <w:t>0</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5D1E3E" w:rsidRPr="009D26F3" w:rsidRDefault="009D6A99" w:rsidP="00A475A4">
            <w:pPr>
              <w:spacing w:before="120" w:after="120"/>
              <w:rPr>
                <w:rFonts w:cs="Arial"/>
                <w:sz w:val="24"/>
                <w:szCs w:val="24"/>
              </w:rPr>
            </w:pPr>
            <w:r>
              <w:rPr>
                <w:rFonts w:cs="Arial"/>
                <w:sz w:val="24"/>
                <w:szCs w:val="24"/>
              </w:rPr>
              <w:t>Referred to in Q2</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1B1713">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9D6A99" w:rsidP="0034389E">
            <w:pPr>
              <w:spacing w:before="120" w:after="120"/>
              <w:rPr>
                <w:rFonts w:cs="Arial"/>
                <w:sz w:val="24"/>
                <w:szCs w:val="24"/>
              </w:rPr>
            </w:pPr>
            <w:r>
              <w:rPr>
                <w:rFonts w:cs="Arial"/>
                <w:sz w:val="24"/>
                <w:szCs w:val="24"/>
              </w:rPr>
              <w:t>None</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1B1713">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201</w:t>
            </w:r>
            <w:r w:rsidR="000D0A70">
              <w:rPr>
                <w:rFonts w:cs="Arial"/>
                <w:sz w:val="24"/>
                <w:szCs w:val="24"/>
              </w:rPr>
              <w:t>5</w:t>
            </w:r>
            <w:r w:rsidRPr="00166F10">
              <w:rPr>
                <w:rFonts w:cs="Arial"/>
                <w:sz w:val="24"/>
                <w:szCs w:val="24"/>
              </w:rPr>
              <w:t>-1</w:t>
            </w:r>
            <w:r w:rsidR="000D0A70">
              <w:rPr>
                <w:rFonts w:cs="Arial"/>
                <w:sz w:val="24"/>
                <w:szCs w:val="24"/>
              </w:rPr>
              <w:t xml:space="preserve">6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9D6A99">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A87CA3"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A87CA3"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A87CA3"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A87CA3"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A87CA3" w:rsidP="00287C7C">
            <w:pPr>
              <w:jc w:val="right"/>
              <w:rPr>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A87CA3"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943386">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0D0A70">
              <w:rPr>
                <w:rFonts w:cs="Arial"/>
                <w:sz w:val="24"/>
                <w:szCs w:val="24"/>
              </w:rPr>
              <w:t>2015-16</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w:t>
            </w:r>
            <w:r w:rsidR="000D41D2">
              <w:rPr>
                <w:rFonts w:cs="Arial"/>
                <w:sz w:val="24"/>
                <w:szCs w:val="24"/>
              </w:rPr>
              <w:lastRenderedPageBreak/>
              <w:t>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Pr="009D26F3" w:rsidRDefault="008826DE" w:rsidP="0034389E">
            <w:pPr>
              <w:spacing w:before="120" w:after="120"/>
              <w:rPr>
                <w:rFonts w:cs="Arial"/>
                <w:sz w:val="24"/>
                <w:szCs w:val="24"/>
              </w:rPr>
            </w:pPr>
            <w:r>
              <w:rPr>
                <w:rFonts w:cs="Arial"/>
                <w:sz w:val="24"/>
                <w:szCs w:val="24"/>
              </w:rPr>
              <w:t>Direct face to face consultation with the Rainbow Project with regards to review of the Personnel Security Policy.</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943386">
            <w:pPr>
              <w:spacing w:before="120" w:after="120"/>
              <w:rPr>
                <w:rFonts w:cs="Arial"/>
                <w:sz w:val="24"/>
                <w:szCs w:val="24"/>
              </w:rPr>
            </w:pPr>
            <w:r w:rsidRPr="009D26F3">
              <w:rPr>
                <w:rFonts w:cs="Arial"/>
                <w:sz w:val="24"/>
                <w:szCs w:val="24"/>
              </w:rPr>
              <w:t>In the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w:t>
            </w:r>
            <w:proofErr w:type="spellStart"/>
            <w:r w:rsidR="00AD7A86" w:rsidRPr="00CB7E48">
              <w:rPr>
                <w:rFonts w:cs="Arial"/>
                <w:b/>
                <w:sz w:val="24"/>
                <w:szCs w:val="24"/>
              </w:rPr>
              <w:t>consultees</w:t>
            </w:r>
            <w:proofErr w:type="spellEnd"/>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A87CA3" w:rsidRPr="009D26F3">
              <w:rPr>
                <w:rFonts w:cs="Arial"/>
                <w:sz w:val="24"/>
                <w:szCs w:val="24"/>
              </w:rPr>
              <w:fldChar w:fldCharType="begin">
                <w:ffData>
                  <w:name w:val="Text7"/>
                  <w:enabled/>
                  <w:calcOnExit w:val="0"/>
                  <w:textInput/>
                </w:ffData>
              </w:fldChar>
            </w:r>
            <w:bookmarkStart w:id="7" w:name="Text7"/>
            <w:r w:rsidRPr="009D26F3">
              <w:rPr>
                <w:rFonts w:cs="Arial"/>
                <w:sz w:val="24"/>
                <w:szCs w:val="24"/>
              </w:rPr>
              <w:instrText xml:space="preserve"> FORMTEXT </w:instrText>
            </w:r>
            <w:r w:rsidR="00A87CA3" w:rsidRPr="009D26F3">
              <w:rPr>
                <w:rFonts w:cs="Arial"/>
                <w:sz w:val="24"/>
                <w:szCs w:val="24"/>
              </w:rPr>
            </w:r>
            <w:r w:rsidR="00A87CA3"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A87CA3" w:rsidRPr="009D26F3">
              <w:rPr>
                <w:rFonts w:cs="Arial"/>
                <w:sz w:val="24"/>
                <w:szCs w:val="24"/>
              </w:rPr>
              <w:fldChar w:fldCharType="end"/>
            </w:r>
            <w:bookmarkEnd w:id="7"/>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w:t>
            </w:r>
            <w:proofErr w:type="spellStart"/>
            <w:r w:rsidRPr="009D26F3">
              <w:rPr>
                <w:rFonts w:cs="Arial"/>
                <w:sz w:val="24"/>
                <w:szCs w:val="24"/>
              </w:rPr>
              <w:t>consultees</w:t>
            </w:r>
            <w:proofErr w:type="spellEnd"/>
            <w:r w:rsidRPr="009D26F3">
              <w:rPr>
                <w:rFonts w:cs="Arial"/>
                <w:sz w:val="24"/>
                <w:szCs w:val="24"/>
              </w:rPr>
              <w:t xml:space="preserve">’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A87CA3" w:rsidP="0034389E">
            <w:pPr>
              <w:spacing w:before="120" w:after="120"/>
              <w:rPr>
                <w:rFonts w:cs="Arial"/>
                <w:sz w:val="24"/>
                <w:szCs w:val="24"/>
              </w:rPr>
            </w:pPr>
            <w:r w:rsidRPr="009D26F3">
              <w:rPr>
                <w:rFonts w:cs="Arial"/>
                <w:sz w:val="24"/>
                <w:szCs w:val="24"/>
              </w:rPr>
              <w:fldChar w:fldCharType="begin">
                <w:ffData>
                  <w:name w:val="Text26"/>
                  <w:enabled/>
                  <w:calcOnExit w:val="0"/>
                  <w:textInput/>
                </w:ffData>
              </w:fldChar>
            </w:r>
            <w:bookmarkStart w:id="8" w:name="Text26"/>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8"/>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92505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w:t>
            </w:r>
            <w:proofErr w:type="spellStart"/>
            <w:r w:rsidR="00AD7A86" w:rsidRPr="009D26F3">
              <w:rPr>
                <w:rFonts w:cs="Arial"/>
                <w:sz w:val="24"/>
                <w:szCs w:val="24"/>
              </w:rPr>
              <w:t>consultees</w:t>
            </w:r>
            <w:proofErr w:type="spellEnd"/>
            <w:r w:rsidR="00AD7A86" w:rsidRPr="009D26F3">
              <w:rPr>
                <w:rFonts w:cs="Arial"/>
                <w:sz w:val="24"/>
                <w:szCs w:val="24"/>
              </w:rPr>
              <w:t xml:space="preserve">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201</w:t>
            </w:r>
            <w:r w:rsidR="000D0A70">
              <w:rPr>
                <w:rFonts w:cs="Arial"/>
                <w:sz w:val="24"/>
                <w:szCs w:val="24"/>
              </w:rPr>
              <w:t>5</w:t>
            </w:r>
            <w:r w:rsidR="00AD7A86" w:rsidRPr="009D26F3">
              <w:rPr>
                <w:rFonts w:cs="Arial"/>
                <w:sz w:val="24"/>
                <w:szCs w:val="24"/>
              </w:rPr>
              <w:t>-1</w:t>
            </w:r>
            <w:r w:rsidR="000D0A70">
              <w:rPr>
                <w:rFonts w:cs="Arial"/>
                <w:sz w:val="24"/>
                <w:szCs w:val="24"/>
              </w:rPr>
              <w:t>6</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A87CA3"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9"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9"/>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8E73FF">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201</w:t>
            </w:r>
            <w:r w:rsidR="000D0A70">
              <w:rPr>
                <w:rFonts w:cs="Arial"/>
                <w:sz w:val="24"/>
                <w:szCs w:val="24"/>
              </w:rPr>
              <w:t>5</w:t>
            </w:r>
            <w:r w:rsidR="00AD7A86" w:rsidRPr="009D26F3">
              <w:rPr>
                <w:rFonts w:cs="Arial"/>
                <w:sz w:val="24"/>
                <w:szCs w:val="24"/>
              </w:rPr>
              <w:t>-1</w:t>
            </w:r>
            <w:r w:rsidR="000D0A70">
              <w:rPr>
                <w:rFonts w:cs="Arial"/>
                <w:sz w:val="24"/>
                <w:szCs w:val="24"/>
              </w:rPr>
              <w:t>6</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A87CA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8826DE">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A87CA3"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D96F15" w:rsidRDefault="00D96F15" w:rsidP="00F74617">
            <w:pPr>
              <w:spacing w:before="120" w:after="120"/>
              <w:rPr>
                <w:rFonts w:cs="Arial"/>
                <w:b/>
                <w:sz w:val="24"/>
                <w:szCs w:val="24"/>
              </w:rPr>
            </w:pPr>
          </w:p>
          <w:p w:rsidR="00D96F15" w:rsidRDefault="00D96F15" w:rsidP="00F74617">
            <w:pPr>
              <w:spacing w:before="120" w:after="120"/>
              <w:rPr>
                <w:rFonts w:cs="Arial"/>
                <w:b/>
                <w:sz w:val="24"/>
                <w:szCs w:val="24"/>
              </w:rPr>
            </w:pPr>
          </w:p>
          <w:p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AD7A86" w:rsidRDefault="00A87CA3" w:rsidP="008826DE">
            <w:pPr>
              <w:spacing w:before="120" w:after="120"/>
              <w:rPr>
                <w:rFonts w:cs="Arial"/>
                <w:sz w:val="24"/>
                <w:szCs w:val="24"/>
              </w:rPr>
            </w:pPr>
            <w:hyperlink r:id="rId12" w:history="1">
              <w:r w:rsidR="008826DE" w:rsidRPr="003F1F1E">
                <w:rPr>
                  <w:rStyle w:val="Hyperlink"/>
                  <w:rFonts w:cs="Arial"/>
                  <w:sz w:val="24"/>
                  <w:szCs w:val="24"/>
                </w:rPr>
                <w:t>www.policeombudsman.org/aboutus/publications/Equality</w:t>
              </w:r>
            </w:hyperlink>
          </w:p>
          <w:p w:rsidR="008826DE" w:rsidRPr="009D26F3" w:rsidRDefault="008826DE" w:rsidP="008826DE">
            <w:pPr>
              <w:spacing w:before="120" w:after="120"/>
              <w:rPr>
                <w:rFonts w:cs="Arial"/>
                <w:sz w:val="24"/>
                <w:szCs w:val="24"/>
              </w:rPr>
            </w:pPr>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lastRenderedPageBreak/>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3F7F71" w:rsidP="000B7756">
            <w:pPr>
              <w:spacing w:before="120" w:after="120"/>
              <w:rPr>
                <w:rFonts w:cs="Arial"/>
                <w:sz w:val="24"/>
                <w:szCs w:val="24"/>
              </w:rPr>
            </w:pPr>
            <w:r>
              <w:rPr>
                <w:rFonts w:cs="Arial"/>
                <w:sz w:val="24"/>
                <w:szCs w:val="24"/>
              </w:rPr>
              <w:t>3</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A445C4">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201</w:t>
            </w:r>
            <w:r w:rsidR="000D0A70">
              <w:rPr>
                <w:rFonts w:cs="Arial"/>
                <w:sz w:val="24"/>
                <w:szCs w:val="24"/>
              </w:rPr>
              <w:t>5</w:t>
            </w:r>
            <w:r>
              <w:rPr>
                <w:rFonts w:cs="Arial"/>
                <w:sz w:val="24"/>
                <w:szCs w:val="24"/>
              </w:rPr>
              <w:t>-1</w:t>
            </w:r>
            <w:r w:rsidR="000D0A70">
              <w:rPr>
                <w:rFonts w:cs="Arial"/>
                <w:sz w:val="24"/>
                <w:szCs w:val="24"/>
              </w:rPr>
              <w:t>6</w:t>
            </w:r>
            <w:r>
              <w:rPr>
                <w:rFonts w:cs="Arial"/>
                <w:sz w:val="24"/>
                <w:szCs w:val="24"/>
              </w:rPr>
              <w:t>:</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8826DE"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8826DE"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8826DE"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A87CA3" w:rsidP="0034389E">
            <w:pPr>
              <w:spacing w:before="120" w:after="120"/>
              <w:rPr>
                <w:rFonts w:cs="Arial"/>
                <w:sz w:val="24"/>
                <w:szCs w:val="24"/>
              </w:rPr>
            </w:pPr>
            <w:r w:rsidRPr="009D26F3">
              <w:rPr>
                <w:rFonts w:cs="Arial"/>
                <w:sz w:val="24"/>
                <w:szCs w:val="24"/>
              </w:rPr>
              <w:fldChar w:fldCharType="begin">
                <w:ffData>
                  <w:name w:val="Text3"/>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w:t>
            </w:r>
            <w:proofErr w:type="spellStart"/>
            <w:r w:rsidRPr="009D26F3">
              <w:rPr>
                <w:rFonts w:cs="Arial"/>
                <w:sz w:val="24"/>
                <w:szCs w:val="24"/>
              </w:rPr>
              <w:t>consultees</w:t>
            </w:r>
            <w:proofErr w:type="spellEnd"/>
            <w:r w:rsidRPr="009D26F3">
              <w:rPr>
                <w:rFonts w:cs="Arial"/>
                <w:sz w:val="24"/>
                <w:szCs w:val="24"/>
              </w:rPr>
              <w:t xml:space="preserve">?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A87CA3"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A87CA3"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A87CA3"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sidR="003F7F7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A87CA3"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A87CA3"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10"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10"/>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A87CA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3F7F7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A87CA3"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25059">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existing information systems during the 201</w:t>
            </w:r>
            <w:r w:rsidR="000D0A70">
              <w:rPr>
                <w:rFonts w:cs="Arial"/>
                <w:sz w:val="24"/>
                <w:szCs w:val="24"/>
              </w:rPr>
              <w:t>5</w:t>
            </w:r>
            <w:r w:rsidR="000A6753" w:rsidRPr="009D26F3">
              <w:rPr>
                <w:rFonts w:cs="Arial"/>
                <w:sz w:val="24"/>
                <w:szCs w:val="24"/>
              </w:rPr>
              <w:t>-1</w:t>
            </w:r>
            <w:r w:rsidR="000D0A70">
              <w:rPr>
                <w:rFonts w:cs="Arial"/>
                <w:sz w:val="24"/>
                <w:szCs w:val="24"/>
              </w:rPr>
              <w:t xml:space="preserve">6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A87CA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3F7F7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A87CA3"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A87CA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3F7F71">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A87CA3"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25059">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during the 2015-16</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3F7F71"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Pr="009D26F3" w:rsidRDefault="003F7F71" w:rsidP="0034389E">
            <w:pPr>
              <w:spacing w:before="120" w:after="120"/>
              <w:rPr>
                <w:rFonts w:cs="Arial"/>
                <w:sz w:val="24"/>
                <w:szCs w:val="24"/>
              </w:rPr>
            </w:pPr>
            <w:r>
              <w:rPr>
                <w:rFonts w:cs="Arial"/>
                <w:sz w:val="24"/>
                <w:szCs w:val="24"/>
              </w:rPr>
              <w:t>N/A</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1"/>
            <w:vAlign w:val="center"/>
          </w:tcPr>
          <w:p w:rsidR="000A6753" w:rsidRPr="009D26F3" w:rsidRDefault="000A6753" w:rsidP="00F70E42">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Model Equality Scheme) undertaken during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3F7F71" w:rsidP="0034389E">
            <w:pPr>
              <w:spacing w:before="120" w:after="120"/>
              <w:rPr>
                <w:rFonts w:cs="Arial"/>
                <w:sz w:val="24"/>
                <w:szCs w:val="24"/>
              </w:rPr>
            </w:pPr>
            <w:r>
              <w:rPr>
                <w:rFonts w:cs="Arial"/>
                <w:sz w:val="24"/>
                <w:szCs w:val="24"/>
              </w:rPr>
              <w:t>Completed in previous years</w:t>
            </w:r>
            <w:r w:rsidR="00BD6E52">
              <w:rPr>
                <w:rFonts w:cs="Arial"/>
                <w:sz w:val="24"/>
                <w:szCs w:val="24"/>
              </w:rPr>
              <w:t>.</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any examples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3F7F71" w:rsidP="0034389E">
            <w:pPr>
              <w:spacing w:before="120" w:after="120"/>
              <w:rPr>
                <w:rFonts w:cs="Arial"/>
                <w:sz w:val="24"/>
                <w:szCs w:val="24"/>
              </w:rPr>
            </w:pPr>
            <w:r>
              <w:rPr>
                <w:rFonts w:cs="Arial"/>
                <w:sz w:val="24"/>
                <w:szCs w:val="24"/>
              </w:rPr>
              <w:t>Understanding Mental Health Issues and Safeguarding Vulnerable Persons</w:t>
            </w:r>
            <w:r w:rsidR="00BD6E52">
              <w:rPr>
                <w:rFonts w:cs="Arial"/>
                <w:sz w:val="24"/>
                <w:szCs w:val="24"/>
              </w:rPr>
              <w:t>.</w:t>
            </w:r>
            <w:r>
              <w:rPr>
                <w:rFonts w:cs="Arial"/>
                <w:sz w:val="24"/>
                <w:szCs w:val="24"/>
              </w:rPr>
              <w:t xml:space="preserve"> </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during 201</w:t>
            </w:r>
            <w:r w:rsidR="000D0A70">
              <w:rPr>
                <w:rFonts w:cs="Arial"/>
                <w:sz w:val="24"/>
                <w:szCs w:val="24"/>
              </w:rPr>
              <w:t>5</w:t>
            </w:r>
            <w:r w:rsidR="007D726A" w:rsidRPr="009D26F3">
              <w:rPr>
                <w:rFonts w:cs="Arial"/>
                <w:sz w:val="24"/>
                <w:szCs w:val="24"/>
              </w:rPr>
              <w:t>-1</w:t>
            </w:r>
            <w:r w:rsidR="000D0A70">
              <w:rPr>
                <w:rFonts w:cs="Arial"/>
                <w:sz w:val="24"/>
                <w:szCs w:val="24"/>
              </w:rPr>
              <w:t>6</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tcPr>
          <w:p w:rsidR="00414698" w:rsidRPr="009D26F3" w:rsidRDefault="00BD6E52" w:rsidP="00BD0781">
            <w:pPr>
              <w:spacing w:before="120" w:after="120"/>
              <w:rPr>
                <w:rFonts w:cs="Arial"/>
                <w:sz w:val="24"/>
                <w:szCs w:val="24"/>
              </w:rPr>
            </w:pPr>
            <w:proofErr w:type="spellStart"/>
            <w:r>
              <w:rPr>
                <w:rFonts w:cs="Arial"/>
                <w:sz w:val="24"/>
                <w:szCs w:val="24"/>
              </w:rPr>
              <w:t>Facebook</w:t>
            </w:r>
            <w:proofErr w:type="spellEnd"/>
            <w:r>
              <w:rPr>
                <w:rFonts w:cs="Arial"/>
                <w:sz w:val="24"/>
                <w:szCs w:val="24"/>
              </w:rPr>
              <w:t xml:space="preserve"> advertising campaign has increased awareness of the role of the Office to the 13/24 years age group, opening up more access to the services the Office provides. </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201</w:t>
            </w:r>
            <w:r w:rsidR="000D0A70">
              <w:rPr>
                <w:rFonts w:cs="Arial"/>
                <w:sz w:val="24"/>
                <w:szCs w:val="24"/>
              </w:rPr>
              <w:t>5</w:t>
            </w:r>
            <w:r w:rsidRPr="009D26F3">
              <w:rPr>
                <w:rFonts w:cs="Arial"/>
                <w:sz w:val="24"/>
                <w:szCs w:val="24"/>
              </w:rPr>
              <w:t>-1</w:t>
            </w:r>
            <w:r w:rsidR="000D0A70">
              <w:rPr>
                <w:rFonts w:cs="Arial"/>
                <w:sz w:val="24"/>
                <w:szCs w:val="24"/>
              </w:rPr>
              <w:t>6</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BD6E52"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tcPr>
          <w:p w:rsidR="000A6753" w:rsidRPr="009D26F3" w:rsidRDefault="00A87CA3" w:rsidP="00BD0781">
            <w:pPr>
              <w:spacing w:before="120" w:after="120"/>
              <w:rPr>
                <w:rFonts w:cs="Arial"/>
                <w:sz w:val="24"/>
                <w:szCs w:val="24"/>
              </w:rPr>
            </w:pPr>
            <w:r w:rsidRPr="009D26F3">
              <w:rPr>
                <w:rFonts w:cs="Arial"/>
                <w:sz w:val="24"/>
                <w:szCs w:val="24"/>
              </w:rPr>
              <w:fldChar w:fldCharType="begin">
                <w:ffData>
                  <w:name w:val="Text31"/>
                  <w:enabled/>
                  <w:calcOnExit w:val="0"/>
                  <w:textInput/>
                </w:ffData>
              </w:fldChar>
            </w:r>
            <w:bookmarkStart w:id="11" w:name="Text31"/>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11"/>
          </w:p>
        </w:tc>
      </w:tr>
    </w:tbl>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
        <w:gridCol w:w="839"/>
        <w:gridCol w:w="8670"/>
      </w:tblGrid>
      <w:tr w:rsidR="000A6753" w:rsidRPr="009D26F3" w:rsidTr="00AD7A86">
        <w:tc>
          <w:tcPr>
            <w:tcW w:w="10165" w:type="dxa"/>
            <w:gridSpan w:val="3"/>
          </w:tcPr>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BD6E52" w:rsidP="00BD0781">
            <w:pPr>
              <w:spacing w:before="120" w:after="120"/>
              <w:rPr>
                <w:rFonts w:cs="Arial"/>
                <w:sz w:val="24"/>
                <w:szCs w:val="24"/>
              </w:rPr>
            </w:pPr>
            <w:r>
              <w:rPr>
                <w:rFonts w:cs="Arial"/>
                <w:sz w:val="24"/>
                <w:szCs w:val="24"/>
              </w:rPr>
              <w:t>2017 a 5 year review is due.</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BD6E52" w:rsidP="00BD0781">
            <w:pPr>
              <w:spacing w:before="120" w:after="120"/>
              <w:rPr>
                <w:rFonts w:cs="Arial"/>
                <w:sz w:val="24"/>
                <w:szCs w:val="24"/>
              </w:rPr>
            </w:pPr>
            <w:r>
              <w:rPr>
                <w:rFonts w:cs="Arial"/>
                <w:sz w:val="24"/>
                <w:szCs w:val="24"/>
              </w:rPr>
              <w:t>Unsure as yet</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rsidR="000A6753" w:rsidRPr="009D26F3" w:rsidRDefault="000A6753" w:rsidP="007D726A">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(201</w:t>
            </w:r>
            <w:r w:rsidR="000D0A70">
              <w:rPr>
                <w:rFonts w:cs="Arial"/>
                <w:sz w:val="24"/>
                <w:szCs w:val="24"/>
              </w:rPr>
              <w:t>6</w:t>
            </w:r>
            <w:r w:rsidRPr="009D26F3">
              <w:rPr>
                <w:rFonts w:cs="Arial"/>
                <w:sz w:val="24"/>
                <w:szCs w:val="24"/>
              </w:rPr>
              <w:t>-1</w:t>
            </w:r>
            <w:r w:rsidR="000D0A70">
              <w:rPr>
                <w:rFonts w:cs="Arial"/>
                <w:sz w:val="24"/>
                <w:szCs w:val="24"/>
              </w:rPr>
              <w:t>7</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rsidTr="00AD7A86">
        <w:trPr>
          <w:trHeight w:val="154"/>
        </w:trPr>
        <w:tc>
          <w:tcPr>
            <w:tcW w:w="656" w:type="dxa"/>
            <w:vMerge w:val="restart"/>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BD6E52">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sidR="00BD6E52">
              <w:rPr>
                <w:rFonts w:cs="Arial"/>
                <w:sz w:val="24"/>
                <w:szCs w:val="24"/>
              </w:rPr>
              <w:instrText xml:space="preserve"> FORMCHECKBOX </w:instrText>
            </w:r>
            <w:r>
              <w:rPr>
                <w:rFonts w:cs="Arial"/>
                <w:sz w:val="24"/>
                <w:szCs w:val="24"/>
              </w:rPr>
            </w:r>
            <w:r>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A87CA3"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Pr>
                <w:rFonts w:cs="Arial"/>
                <w:sz w:val="24"/>
                <w:szCs w:val="24"/>
              </w:rPr>
            </w:r>
            <w:r>
              <w:rPr>
                <w:rFonts w:cs="Arial"/>
                <w:sz w:val="24"/>
                <w:szCs w:val="24"/>
              </w:rPr>
              <w:fldChar w:fldCharType="separate"/>
            </w:r>
            <w:r w:rsidRPr="009D26F3">
              <w:rPr>
                <w:rFonts w:cs="Arial"/>
                <w:sz w:val="24"/>
                <w:szCs w:val="24"/>
              </w:rPr>
              <w:fldChar w:fldCharType="end"/>
            </w:r>
          </w:p>
        </w:tc>
        <w:tc>
          <w:tcPr>
            <w:tcW w:w="8670" w:type="dxa"/>
          </w:tcPr>
          <w:p w:rsidR="007D726A" w:rsidRDefault="000A6753" w:rsidP="00BD0781">
            <w:pPr>
              <w:spacing w:before="120" w:after="120"/>
              <w:rPr>
                <w:rFonts w:cs="Arial"/>
                <w:sz w:val="24"/>
                <w:szCs w:val="24"/>
              </w:rPr>
            </w:pPr>
            <w:r w:rsidRPr="009D26F3">
              <w:rPr>
                <w:rFonts w:cs="Arial"/>
                <w:sz w:val="24"/>
                <w:szCs w:val="24"/>
              </w:rPr>
              <w:t xml:space="preserve">Other (please state): </w:t>
            </w:r>
          </w:p>
          <w:p w:rsidR="000A6753" w:rsidRPr="009D26F3" w:rsidRDefault="00A87CA3"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12"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12"/>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tblPr>
      <w:tblGrid>
        <w:gridCol w:w="1181"/>
        <w:gridCol w:w="1181"/>
        <w:gridCol w:w="1181"/>
        <w:gridCol w:w="1182"/>
        <w:gridCol w:w="1181"/>
        <w:gridCol w:w="1181"/>
        <w:gridCol w:w="1181"/>
        <w:gridCol w:w="1182"/>
        <w:gridCol w:w="1181"/>
        <w:gridCol w:w="1182"/>
        <w:gridCol w:w="1181"/>
        <w:gridCol w:w="1182"/>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6D2E2D" w:rsidP="00AD241C">
            <w:pPr>
              <w:jc w:val="center"/>
              <w:rPr>
                <w:b/>
                <w:sz w:val="28"/>
                <w:szCs w:val="28"/>
              </w:rPr>
            </w:pPr>
            <w:r>
              <w:rPr>
                <w:b/>
                <w:sz w:val="28"/>
                <w:szCs w:val="28"/>
              </w:rPr>
              <w:t>1</w:t>
            </w:r>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6D2E2D" w:rsidP="00AD241C">
            <w:pPr>
              <w:jc w:val="center"/>
              <w:rPr>
                <w:b/>
                <w:sz w:val="28"/>
                <w:szCs w:val="28"/>
              </w:rPr>
            </w:pPr>
            <w:r>
              <w:rPr>
                <w:b/>
                <w:sz w:val="28"/>
                <w:szCs w:val="28"/>
              </w:rPr>
              <w:t>1</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7464C1" w:rsidP="00AD241C">
            <w:pPr>
              <w:jc w:val="center"/>
              <w:rPr>
                <w:b/>
                <w:sz w:val="28"/>
                <w:szCs w:val="28"/>
              </w:rPr>
            </w:pPr>
            <w:r>
              <w:rPr>
                <w:b/>
                <w:sz w:val="28"/>
                <w:szCs w:val="28"/>
              </w:rPr>
              <w:t>3</w:t>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p w:rsidR="001109A7" w:rsidRPr="00AF2F82" w:rsidRDefault="001109A7" w:rsidP="001109A7">
      <w:pPr>
        <w:jc w:val="both"/>
        <w:rPr>
          <w:rFonts w:ascii="Arial" w:hAnsi="Arial" w:cs="Arial"/>
          <w:color w:val="0070C0"/>
          <w:sz w:val="28"/>
          <w:szCs w:val="28"/>
        </w:rPr>
      </w:pPr>
      <w:r w:rsidRPr="00AF2F82">
        <w:rPr>
          <w:rFonts w:ascii="Arial" w:hAnsi="Arial" w:cs="Arial"/>
          <w:color w:val="0070C0"/>
          <w:sz w:val="28"/>
          <w:szCs w:val="28"/>
        </w:rPr>
        <w:t>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13"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13"/>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Default="00586EF7" w:rsidP="0042023B">
      <w:pPr>
        <w:rPr>
          <w:sz w:val="24"/>
          <w:szCs w:val="24"/>
        </w:rPr>
      </w:pPr>
    </w:p>
    <w:p w:rsidR="001109A7" w:rsidRDefault="001109A7" w:rsidP="0042023B">
      <w:pPr>
        <w:rPr>
          <w:sz w:val="24"/>
          <w:szCs w:val="24"/>
        </w:rPr>
      </w:pPr>
    </w:p>
    <w:p w:rsidR="001109A7" w:rsidRDefault="001109A7" w:rsidP="0042023B">
      <w:pPr>
        <w:rPr>
          <w:sz w:val="24"/>
          <w:szCs w:val="24"/>
        </w:rPr>
      </w:pPr>
    </w:p>
    <w:p w:rsidR="001109A7" w:rsidRPr="00AD241C" w:rsidRDefault="001109A7" w:rsidP="0042023B">
      <w:pPr>
        <w:rPr>
          <w:sz w:val="24"/>
          <w:szCs w:val="24"/>
        </w:rPr>
      </w:pPr>
    </w:p>
    <w:p w:rsidR="0042023B" w:rsidRPr="00AD241C" w:rsidRDefault="0042023B" w:rsidP="0042023B">
      <w:pPr>
        <w:rPr>
          <w:sz w:val="24"/>
          <w:szCs w:val="24"/>
        </w:rPr>
      </w:pPr>
      <w:r w:rsidRPr="00AD241C">
        <w:rPr>
          <w:sz w:val="24"/>
          <w:szCs w:val="24"/>
        </w:rPr>
        <w:lastRenderedPageBreak/>
        <w:t xml:space="preserve">2(b) </w:t>
      </w:r>
      <w:proofErr w:type="gramStart"/>
      <w:r w:rsidRPr="00AD241C">
        <w:rPr>
          <w:sz w:val="24"/>
          <w:szCs w:val="24"/>
        </w:rPr>
        <w:t>What</w:t>
      </w:r>
      <w:proofErr w:type="gramEnd"/>
      <w:r w:rsidRPr="00AD241C">
        <w:rPr>
          <w:sz w:val="24"/>
          <w:szCs w:val="24"/>
        </w:rPr>
        <w:t xml:space="preserve">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C94588" w:rsidRDefault="001109A7" w:rsidP="00247FBC">
            <w:pPr>
              <w:spacing w:after="120" w:line="240" w:lineRule="auto"/>
              <w:rPr>
                <w:sz w:val="24"/>
                <w:szCs w:val="24"/>
              </w:rPr>
            </w:pPr>
            <w:r w:rsidRPr="00C94588">
              <w:rPr>
                <w:rFonts w:cs="Arial"/>
                <w:sz w:val="24"/>
                <w:szCs w:val="24"/>
              </w:rPr>
              <w:t>We will develop a training programme for customer facing staff in how to effectively identify and appropriately deal with complainants that may have mental health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109A7" w:rsidP="00247FBC">
            <w:pPr>
              <w:spacing w:after="120" w:line="240" w:lineRule="auto"/>
              <w:rPr>
                <w:sz w:val="24"/>
                <w:szCs w:val="24"/>
              </w:rPr>
            </w:pPr>
            <w:r>
              <w:rPr>
                <w:sz w:val="24"/>
                <w:szCs w:val="24"/>
              </w:rPr>
              <w:t>Greater knowledge of mental health issues</w:t>
            </w:r>
            <w:r w:rsidR="00C94588">
              <w:rPr>
                <w:sz w:val="24"/>
                <w:szCs w:val="24"/>
              </w:rPr>
              <w:t xml:space="preserve"> and confidence in dealing with issues in the work setting.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109A7" w:rsidP="00C94588">
            <w:pPr>
              <w:spacing w:after="120" w:line="240" w:lineRule="auto"/>
              <w:rPr>
                <w:sz w:val="24"/>
                <w:szCs w:val="24"/>
              </w:rPr>
            </w:pPr>
            <w:r>
              <w:rPr>
                <w:sz w:val="24"/>
                <w:szCs w:val="24"/>
              </w:rPr>
              <w:t xml:space="preserve">Evaluation conducted after the event </w:t>
            </w:r>
            <w:r w:rsidR="00C94588">
              <w:rPr>
                <w:sz w:val="24"/>
                <w:szCs w:val="24"/>
              </w:rPr>
              <w:t>showed participant understanding described as “good” increased from 17.65% to 100% when compared to before the event. While participant confidence in dealing with mental health issues in a work setting described as “good”, increased from 5.88% to 82.36% when compared to before the event.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 xml:space="preserve">2 (d) </w:t>
      </w:r>
      <w:proofErr w:type="gramStart"/>
      <w:r w:rsidRPr="00AD241C">
        <w:rPr>
          <w:sz w:val="24"/>
          <w:szCs w:val="24"/>
        </w:rPr>
        <w:t>What</w:t>
      </w:r>
      <w:proofErr w:type="gramEnd"/>
      <w:r w:rsidRPr="00AD241C">
        <w:rPr>
          <w:sz w:val="24"/>
          <w:szCs w:val="24"/>
        </w:rPr>
        <w:t xml:space="preserve">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Milestones</w:t>
            </w:r>
            <w:r w:rsidRPr="00AD241C">
              <w:endnoteReference w:id="6"/>
            </w:r>
            <w:r w:rsidRPr="00AD241C">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C94588" w:rsidRPr="00C94588" w:rsidRDefault="00C94588" w:rsidP="00C94588">
            <w:pPr>
              <w:rPr>
                <w:sz w:val="24"/>
                <w:szCs w:val="24"/>
              </w:rPr>
            </w:pPr>
            <w:r w:rsidRPr="00C94588">
              <w:rPr>
                <w:sz w:val="24"/>
                <w:szCs w:val="24"/>
                <w:lang w:val="en-US"/>
              </w:rPr>
              <w:t xml:space="preserve">We will monitor satisfaction levels from service users with disabilities and investigate where levels of satisfaction are below what might be reasonably expected.  </w:t>
            </w:r>
          </w:p>
          <w:p w:rsidR="00AD241C" w:rsidRPr="00AD241C" w:rsidRDefault="00AD241C" w:rsidP="00247FBC">
            <w:pPr>
              <w:spacing w:after="120" w:line="240" w:lineRule="auto"/>
              <w:rPr>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247FBC">
            <w:pPr>
              <w:spacing w:after="120" w:line="240" w:lineRule="auto"/>
              <w:rPr>
                <w:sz w:val="24"/>
                <w:szCs w:val="24"/>
              </w:rPr>
            </w:pPr>
            <w:r w:rsidRPr="00C94588">
              <w:rPr>
                <w:sz w:val="24"/>
                <w:szCs w:val="24"/>
              </w:rPr>
              <w:lastRenderedPageBreak/>
              <w:t>To improve satisfaction levels from service users with a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247FBC">
            <w:pPr>
              <w:spacing w:after="120" w:line="240" w:lineRule="auto"/>
              <w:rPr>
                <w:sz w:val="24"/>
                <w:szCs w:val="24"/>
              </w:rPr>
            </w:pPr>
            <w:r w:rsidRPr="00C94588">
              <w:rPr>
                <w:sz w:val="24"/>
                <w:szCs w:val="24"/>
              </w:rPr>
              <w:t>Not yet realised, will require further future monitoring</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247FBC">
            <w:pPr>
              <w:spacing w:after="120" w:line="240" w:lineRule="auto"/>
              <w:rPr>
                <w:sz w:val="24"/>
                <w:szCs w:val="24"/>
              </w:rPr>
            </w:pPr>
            <w:r w:rsidRPr="00C94588">
              <w:rPr>
                <w:sz w:val="24"/>
                <w:szCs w:val="24"/>
              </w:rPr>
              <w:t>Monitoring information is provided with limited scope to explore underlying reasons. Further methodology to research is being considered.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lastRenderedPageBreak/>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F62B04" w:rsidRDefault="00586EF7"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C94588">
        <w:trPr>
          <w:trHeight w:val="2090"/>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C94588">
            <w:pPr>
              <w:rPr>
                <w:sz w:val="24"/>
                <w:szCs w:val="24"/>
              </w:rPr>
            </w:pPr>
            <w:r w:rsidRPr="00C94588">
              <w:rPr>
                <w:sz w:val="24"/>
                <w:szCs w:val="24"/>
                <w:lang w:val="en-US"/>
              </w:rPr>
              <w:t>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Northern Ireland</w:t>
            </w:r>
            <w:r>
              <w:rPr>
                <w:sz w:val="24"/>
                <w:szCs w:val="24"/>
                <w:lang w:val="en-US"/>
              </w:rPr>
              <w:t>.</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C94588" w:rsidRDefault="00C94588" w:rsidP="00247FBC">
            <w:pPr>
              <w:spacing w:after="120" w:line="240" w:lineRule="auto"/>
              <w:rPr>
                <w:sz w:val="24"/>
                <w:szCs w:val="24"/>
              </w:rPr>
            </w:pPr>
            <w:r w:rsidRPr="00C94588">
              <w:rPr>
                <w:rFonts w:cs="Arial"/>
                <w:sz w:val="24"/>
                <w:szCs w:val="24"/>
              </w:rPr>
              <w:t>Action plan in third year of implementation</w:t>
            </w:r>
          </w:p>
        </w:tc>
      </w:tr>
      <w:tr w:rsidR="00C94588"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588" w:rsidRPr="00AD241C" w:rsidRDefault="00DC60B8" w:rsidP="00AD241C">
            <w:pPr>
              <w:rPr>
                <w:sz w:val="24"/>
                <w:szCs w:val="24"/>
              </w:rPr>
            </w:pPr>
            <w:r>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C94588" w:rsidRPr="00C94588" w:rsidRDefault="00DC60B8" w:rsidP="00247FBC">
            <w:pPr>
              <w:spacing w:after="120" w:line="240" w:lineRule="auto"/>
              <w:rPr>
                <w:sz w:val="24"/>
                <w:szCs w:val="24"/>
                <w:lang w:val="en-US"/>
              </w:rPr>
            </w:pPr>
            <w:r w:rsidRPr="00DC60B8">
              <w:rPr>
                <w:sz w:val="24"/>
                <w:szCs w:val="24"/>
                <w:lang w:val="en-US"/>
              </w:rPr>
              <w:t>The Office will develop a checklist for frontline customer service staff to aid the detection of service users with a learning disability to improve their customer experience.</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C94588" w:rsidRPr="00C94588" w:rsidRDefault="00DC60B8" w:rsidP="00247FBC">
            <w:pPr>
              <w:spacing w:after="120" w:line="240" w:lineRule="auto"/>
              <w:rPr>
                <w:rFonts w:cs="Arial"/>
                <w:sz w:val="24"/>
                <w:szCs w:val="24"/>
              </w:rPr>
            </w:pPr>
            <w:r w:rsidRPr="00C94588">
              <w:rPr>
                <w:rFonts w:cs="Arial"/>
                <w:sz w:val="24"/>
                <w:szCs w:val="24"/>
              </w:rPr>
              <w:t>Action plan in third year of implementation</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DC60B8" w:rsidP="00AD241C">
            <w:pPr>
              <w:rPr>
                <w:sz w:val="24"/>
                <w:szCs w:val="24"/>
              </w:rPr>
            </w:pPr>
            <w:r>
              <w:rPr>
                <w:sz w:val="24"/>
                <w:szCs w:val="24"/>
              </w:rPr>
              <w:t>3</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247FBC">
            <w:pPr>
              <w:spacing w:after="120" w:line="240" w:lineRule="auto"/>
              <w:rPr>
                <w:sz w:val="24"/>
                <w:szCs w:val="24"/>
              </w:rPr>
            </w:pPr>
            <w:r w:rsidRPr="00C94588">
              <w:rPr>
                <w:sz w:val="24"/>
                <w:szCs w:val="24"/>
                <w:lang w:val="en-US"/>
              </w:rPr>
              <w:t xml:space="preserve">The Office will promote greater awareness of services available from the Office to people with a learning disability through their representative </w:t>
            </w:r>
            <w:proofErr w:type="spellStart"/>
            <w:r w:rsidRPr="00C94588">
              <w:rPr>
                <w:sz w:val="24"/>
                <w:szCs w:val="24"/>
                <w:lang w:val="en-US"/>
              </w:rPr>
              <w:t>organisations</w:t>
            </w:r>
            <w:proofErr w:type="spellEnd"/>
            <w:r w:rsidRPr="00C94588">
              <w:rPr>
                <w:sz w:val="24"/>
                <w:szCs w:val="24"/>
                <w:lang w:val="en-US"/>
              </w:rPr>
              <w:t>.</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94588" w:rsidP="00247FBC">
            <w:pPr>
              <w:spacing w:after="120" w:line="240" w:lineRule="auto"/>
              <w:rPr>
                <w:sz w:val="24"/>
                <w:szCs w:val="24"/>
              </w:rPr>
            </w:pPr>
            <w:r w:rsidRPr="00C94588">
              <w:rPr>
                <w:rFonts w:cs="Arial"/>
                <w:sz w:val="24"/>
                <w:szCs w:val="24"/>
              </w:rPr>
              <w:t>Action plan in third year of implementation</w:t>
            </w:r>
          </w:p>
        </w:tc>
      </w:tr>
    </w:tbl>
    <w:p w:rsidR="0042023B" w:rsidRDefault="0042023B" w:rsidP="0042023B">
      <w:pPr>
        <w:rPr>
          <w:sz w:val="24"/>
          <w:szCs w:val="24"/>
        </w:rPr>
      </w:pPr>
    </w:p>
    <w:p w:rsidR="00DC60B8" w:rsidRPr="00AD241C" w:rsidRDefault="00DC60B8"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lastRenderedPageBreak/>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42023B" w:rsidRPr="00AD241C" w:rsidRDefault="00DC60B8" w:rsidP="0042023B">
      <w:pPr>
        <w:rPr>
          <w:sz w:val="24"/>
          <w:szCs w:val="24"/>
        </w:rPr>
      </w:pPr>
      <w:r w:rsidRPr="00DC60B8">
        <w:rPr>
          <w:sz w:val="24"/>
          <w:szCs w:val="24"/>
        </w:rPr>
        <w:t>The Office will monitor progress through the established Equality Working Group of the Office</w:t>
      </w:r>
      <w:r w:rsidR="00772C68">
        <w:rPr>
          <w:sz w:val="24"/>
          <w:szCs w:val="24"/>
        </w:rPr>
        <w:t>.</w:t>
      </w:r>
    </w:p>
    <w:p w:rsidR="0042023B" w:rsidRPr="00AD241C" w:rsidRDefault="0042023B" w:rsidP="0042023B">
      <w:pPr>
        <w:rPr>
          <w:sz w:val="24"/>
          <w:szCs w:val="24"/>
        </w:rPr>
      </w:pPr>
      <w:r w:rsidRPr="00AD241C">
        <w:rPr>
          <w:sz w:val="24"/>
          <w:szCs w:val="24"/>
        </w:rPr>
        <w:t>(b) Quantitative</w:t>
      </w:r>
    </w:p>
    <w:p w:rsidR="00586EF7" w:rsidRPr="00AD241C" w:rsidRDefault="00DC60B8" w:rsidP="0042023B">
      <w:pPr>
        <w:rPr>
          <w:sz w:val="24"/>
          <w:szCs w:val="24"/>
        </w:rPr>
      </w:pPr>
      <w:r>
        <w:rPr>
          <w:sz w:val="24"/>
          <w:szCs w:val="24"/>
        </w:rPr>
        <w:t>None</w:t>
      </w: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proofErr w:type="gramStart"/>
      <w:r w:rsidRPr="00AD241C">
        <w:rPr>
          <w:sz w:val="24"/>
          <w:szCs w:val="24"/>
        </w:rPr>
        <w:t>taken</w:t>
      </w:r>
      <w:proofErr w:type="gramEnd"/>
      <w:r w:rsidRPr="00AD241C">
        <w:rPr>
          <w:sz w:val="24"/>
          <w:szCs w:val="24"/>
        </w:rPr>
        <w:t xml:space="preserve">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AD241C" w:rsidRDefault="0042023B" w:rsidP="0042023B">
      <w:pPr>
        <w:rPr>
          <w:sz w:val="24"/>
          <w:szCs w:val="24"/>
        </w:rPr>
      </w:pPr>
      <w:r w:rsidRPr="00AD241C">
        <w:rPr>
          <w:sz w:val="24"/>
          <w:szCs w:val="24"/>
        </w:rPr>
        <w:t xml:space="preserve"> </w:t>
      </w:r>
    </w:p>
    <w:p w:rsidR="00DC60B8" w:rsidRDefault="00DC60B8" w:rsidP="0042023B">
      <w:pPr>
        <w:rPr>
          <w:sz w:val="24"/>
          <w:szCs w:val="24"/>
        </w:rPr>
      </w:pPr>
      <w:r>
        <w:rPr>
          <w:sz w:val="24"/>
          <w:szCs w:val="24"/>
        </w:rPr>
        <w:t xml:space="preserve">No </w:t>
      </w:r>
    </w:p>
    <w:p w:rsidR="0042023B" w:rsidRPr="00AD241C" w:rsidRDefault="0042023B" w:rsidP="0042023B">
      <w:pPr>
        <w:rPr>
          <w:sz w:val="24"/>
          <w:szCs w:val="24"/>
        </w:rPr>
      </w:pPr>
      <w:r w:rsidRPr="00AD241C">
        <w:rPr>
          <w:sz w:val="24"/>
          <w:szCs w:val="24"/>
        </w:rPr>
        <w:t xml:space="preserve"> </w:t>
      </w:r>
      <w:r w:rsidR="00A87CA3">
        <w:rPr>
          <w:sz w:val="24"/>
          <w:szCs w:val="24"/>
        </w:rPr>
        <w:fldChar w:fldCharType="begin">
          <w:ffData>
            <w:name w:val="Dropdown1"/>
            <w:enabled/>
            <w:calcOnExit w:val="0"/>
            <w:statusText w:type="text" w:val="Select yes or no"/>
            <w:ddList>
              <w:listEntry w:val="Please select"/>
              <w:listEntry w:val="Yes"/>
              <w:listEntry w:val="No"/>
            </w:ddList>
          </w:ffData>
        </w:fldChar>
      </w:r>
      <w:bookmarkStart w:id="14" w:name="Dropdown1"/>
      <w:r w:rsidR="00AD241C">
        <w:rPr>
          <w:sz w:val="24"/>
          <w:szCs w:val="24"/>
        </w:rPr>
        <w:instrText xml:space="preserve"> FORMDROPDOWN </w:instrText>
      </w:r>
      <w:r w:rsidR="00A87CA3">
        <w:rPr>
          <w:sz w:val="24"/>
          <w:szCs w:val="24"/>
        </w:rPr>
      </w:r>
      <w:r w:rsidR="00A87CA3">
        <w:rPr>
          <w:sz w:val="24"/>
          <w:szCs w:val="24"/>
        </w:rPr>
        <w:fldChar w:fldCharType="separate"/>
      </w:r>
      <w:r w:rsidR="00A87CA3">
        <w:rPr>
          <w:sz w:val="24"/>
          <w:szCs w:val="24"/>
        </w:rPr>
        <w:fldChar w:fldCharType="end"/>
      </w:r>
      <w:bookmarkEnd w:id="14"/>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lastRenderedPageBreak/>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A87CA3"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DC60B8" w:rsidP="00BA2078">
      <w:pPr>
        <w:rPr>
          <w:sz w:val="24"/>
          <w:szCs w:val="24"/>
        </w:rPr>
      </w:pPr>
      <w:r>
        <w:rPr>
          <w:sz w:val="24"/>
          <w:szCs w:val="24"/>
        </w:rPr>
        <w:t>Not at the moment</w:t>
      </w:r>
    </w:p>
    <w:p w:rsidR="00586EF7" w:rsidRPr="00AD241C" w:rsidRDefault="00586EF7" w:rsidP="00BA2078">
      <w:pPr>
        <w:rPr>
          <w:sz w:val="24"/>
          <w:szCs w:val="24"/>
        </w:rPr>
      </w:pPr>
    </w:p>
    <w:sectPr w:rsidR="00586EF7" w:rsidRPr="00AD241C" w:rsidSect="006E47C9">
      <w:headerReference w:type="default" r:id="rId13"/>
      <w:pgSz w:w="16840" w:h="11907"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C00" w:rsidRDefault="008A5C00" w:rsidP="00161476">
      <w:pPr>
        <w:spacing w:after="0" w:line="240" w:lineRule="auto"/>
      </w:pPr>
      <w:r>
        <w:separator/>
      </w:r>
    </w:p>
  </w:endnote>
  <w:endnote w:type="continuationSeparator" w:id="0">
    <w:p w:rsidR="008A5C00" w:rsidRDefault="008A5C00" w:rsidP="00161476">
      <w:pPr>
        <w:spacing w:after="0" w:line="240" w:lineRule="auto"/>
      </w:pPr>
      <w:r>
        <w:continuationSeparator/>
      </w:r>
    </w:p>
  </w:endnote>
  <w:endnote w:id="1">
    <w:p w:rsidR="008A5C00" w:rsidRPr="003A7F3A" w:rsidRDefault="008A5C00"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8A5C00" w:rsidRPr="003A7F3A" w:rsidRDefault="008A5C00"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w:t>
      </w:r>
      <w:proofErr w:type="gramStart"/>
      <w:r w:rsidRPr="003A7F3A">
        <w:rPr>
          <w:rFonts w:cs="Arial"/>
        </w:rPr>
        <w:t>Evaluation indicating a tangible shift in attitudes before and after training.</w:t>
      </w:r>
      <w:proofErr w:type="gramEnd"/>
    </w:p>
  </w:endnote>
  <w:endnote w:id="3">
    <w:p w:rsidR="008A5C00" w:rsidRPr="003A7F3A" w:rsidRDefault="008A5C00"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8A5C00" w:rsidRPr="003A7F3A" w:rsidRDefault="008A5C00"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8A5C00" w:rsidRPr="003A7F3A" w:rsidRDefault="008A5C00" w:rsidP="0042023B">
      <w:pPr>
        <w:pStyle w:val="EndnoteText"/>
        <w:rPr>
          <w:rFonts w:cs="Arial"/>
        </w:rPr>
      </w:pPr>
      <w:r w:rsidRPr="003A7F3A">
        <w:rPr>
          <w:rStyle w:val="EndnoteReference"/>
          <w:rFonts w:cs="Arial"/>
        </w:rPr>
        <w:endnoteRef/>
      </w:r>
      <w:r w:rsidRPr="003A7F3A">
        <w:rPr>
          <w:rFonts w:cs="Arial"/>
        </w:rPr>
        <w:t xml:space="preserve"> </w:t>
      </w:r>
      <w:proofErr w:type="gramStart"/>
      <w:r w:rsidRPr="003A7F3A">
        <w:rPr>
          <w:rFonts w:cs="Arial"/>
          <w:b/>
        </w:rPr>
        <w:t>Local :</w:t>
      </w:r>
      <w:proofErr w:type="gramEnd"/>
      <w:r w:rsidRPr="003A7F3A">
        <w:rPr>
          <w:rFonts w:cs="Arial"/>
          <w:b/>
        </w:rPr>
        <w:t xml:space="preserve"> </w:t>
      </w:r>
      <w:r w:rsidRPr="003A7F3A">
        <w:rPr>
          <w:rFonts w:cs="Arial"/>
        </w:rPr>
        <w:t xml:space="preserve">Situations where people can influence policy decision making at lower impact level e.g. one off consultations, local </w:t>
      </w:r>
      <w:proofErr w:type="spellStart"/>
      <w:r w:rsidRPr="003A7F3A">
        <w:rPr>
          <w:rFonts w:cs="Arial"/>
        </w:rPr>
        <w:t>fora</w:t>
      </w:r>
      <w:proofErr w:type="spellEnd"/>
      <w:r w:rsidRPr="003A7F3A">
        <w:rPr>
          <w:rFonts w:cs="Arial"/>
        </w:rPr>
        <w:t>.</w:t>
      </w:r>
    </w:p>
  </w:endnote>
  <w:endnote w:id="6">
    <w:p w:rsidR="008A5C00" w:rsidRPr="003A7F3A" w:rsidRDefault="008A5C00"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50"/>
      <w:docPartObj>
        <w:docPartGallery w:val="Page Numbers (Bottom of Page)"/>
        <w:docPartUnique/>
      </w:docPartObj>
    </w:sdtPr>
    <w:sdtContent>
      <w:p w:rsidR="008A5C00" w:rsidRDefault="00A87CA3">
        <w:pPr>
          <w:pStyle w:val="Footer"/>
          <w:jc w:val="center"/>
        </w:pPr>
        <w:fldSimple w:instr=" PAGE   \* MERGEFORMAT ">
          <w:r w:rsidR="00772C68">
            <w:rPr>
              <w:noProof/>
            </w:rPr>
            <w:t>19</w:t>
          </w:r>
        </w:fldSimple>
      </w:p>
    </w:sdtContent>
  </w:sdt>
  <w:p w:rsidR="008A5C00" w:rsidRDefault="008A5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C00" w:rsidRDefault="008A5C00" w:rsidP="00161476">
      <w:pPr>
        <w:spacing w:after="0" w:line="240" w:lineRule="auto"/>
      </w:pPr>
      <w:r>
        <w:separator/>
      </w:r>
    </w:p>
  </w:footnote>
  <w:footnote w:type="continuationSeparator" w:id="0">
    <w:p w:rsidR="008A5C00" w:rsidRDefault="008A5C00" w:rsidP="001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00" w:rsidRDefault="008A5C00">
    <w:pPr>
      <w:pStyle w:val="Header"/>
    </w:pPr>
    <w:r>
      <w:t>DRAFT for approval 120215</w:t>
    </w:r>
  </w:p>
  <w:p w:rsidR="008A5C00" w:rsidRDefault="008A5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00" w:rsidRDefault="008A5C00">
    <w:pPr>
      <w:pStyle w:val="Header"/>
    </w:pPr>
    <w:r>
      <w:t>PART A</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00" w:rsidRDefault="008A5C00">
    <w:pPr>
      <w:pStyle w:val="Header"/>
    </w:pPr>
    <w:r>
      <w:t>PART B</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08294C"/>
    <w:rsid w:val="00002263"/>
    <w:rsid w:val="00013C1F"/>
    <w:rsid w:val="000178AB"/>
    <w:rsid w:val="00045425"/>
    <w:rsid w:val="000462A6"/>
    <w:rsid w:val="000551B7"/>
    <w:rsid w:val="00055BAA"/>
    <w:rsid w:val="000618AF"/>
    <w:rsid w:val="00064206"/>
    <w:rsid w:val="00065EBA"/>
    <w:rsid w:val="00066A78"/>
    <w:rsid w:val="0007263A"/>
    <w:rsid w:val="000737B8"/>
    <w:rsid w:val="00081210"/>
    <w:rsid w:val="0008294C"/>
    <w:rsid w:val="00085BA5"/>
    <w:rsid w:val="00087049"/>
    <w:rsid w:val="00097804"/>
    <w:rsid w:val="00097CBA"/>
    <w:rsid w:val="000A4DA9"/>
    <w:rsid w:val="000A5540"/>
    <w:rsid w:val="000A6753"/>
    <w:rsid w:val="000A6CED"/>
    <w:rsid w:val="000A7730"/>
    <w:rsid w:val="000B1575"/>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1B8E"/>
    <w:rsid w:val="000F239A"/>
    <w:rsid w:val="000F597E"/>
    <w:rsid w:val="0010612A"/>
    <w:rsid w:val="001109A7"/>
    <w:rsid w:val="00121C30"/>
    <w:rsid w:val="00124341"/>
    <w:rsid w:val="00124763"/>
    <w:rsid w:val="00133839"/>
    <w:rsid w:val="00143990"/>
    <w:rsid w:val="001452A7"/>
    <w:rsid w:val="001504A3"/>
    <w:rsid w:val="00152228"/>
    <w:rsid w:val="001530E9"/>
    <w:rsid w:val="00154821"/>
    <w:rsid w:val="00161476"/>
    <w:rsid w:val="00166F10"/>
    <w:rsid w:val="00167D89"/>
    <w:rsid w:val="00170DC6"/>
    <w:rsid w:val="00176C9E"/>
    <w:rsid w:val="001918DF"/>
    <w:rsid w:val="001941D6"/>
    <w:rsid w:val="001B1713"/>
    <w:rsid w:val="001B6FD7"/>
    <w:rsid w:val="001C3CAD"/>
    <w:rsid w:val="001C48FF"/>
    <w:rsid w:val="001C5D69"/>
    <w:rsid w:val="001D037F"/>
    <w:rsid w:val="001E0DA6"/>
    <w:rsid w:val="001E78A1"/>
    <w:rsid w:val="001F321B"/>
    <w:rsid w:val="001F6278"/>
    <w:rsid w:val="002107D0"/>
    <w:rsid w:val="00211E32"/>
    <w:rsid w:val="0022359F"/>
    <w:rsid w:val="002429DA"/>
    <w:rsid w:val="00242FEB"/>
    <w:rsid w:val="00243482"/>
    <w:rsid w:val="00246318"/>
    <w:rsid w:val="0024757B"/>
    <w:rsid w:val="00247FBC"/>
    <w:rsid w:val="0025148D"/>
    <w:rsid w:val="00255E06"/>
    <w:rsid w:val="00261D90"/>
    <w:rsid w:val="00262A45"/>
    <w:rsid w:val="00263B21"/>
    <w:rsid w:val="0026456C"/>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A5C9E"/>
    <w:rsid w:val="002B2C2F"/>
    <w:rsid w:val="002C53C3"/>
    <w:rsid w:val="002D27B6"/>
    <w:rsid w:val="002D63EA"/>
    <w:rsid w:val="002E5119"/>
    <w:rsid w:val="002E5C91"/>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5EE8"/>
    <w:rsid w:val="00326953"/>
    <w:rsid w:val="00332A68"/>
    <w:rsid w:val="0033387F"/>
    <w:rsid w:val="00334936"/>
    <w:rsid w:val="00334F2A"/>
    <w:rsid w:val="00341F20"/>
    <w:rsid w:val="0034389E"/>
    <w:rsid w:val="003465CD"/>
    <w:rsid w:val="00346BC4"/>
    <w:rsid w:val="00346D28"/>
    <w:rsid w:val="00371D57"/>
    <w:rsid w:val="00372BF2"/>
    <w:rsid w:val="003876A7"/>
    <w:rsid w:val="003901F6"/>
    <w:rsid w:val="00393598"/>
    <w:rsid w:val="003A16CA"/>
    <w:rsid w:val="003A7F3A"/>
    <w:rsid w:val="003B16B8"/>
    <w:rsid w:val="003B28B0"/>
    <w:rsid w:val="003B5A6A"/>
    <w:rsid w:val="003C0A05"/>
    <w:rsid w:val="003D45E8"/>
    <w:rsid w:val="003D483C"/>
    <w:rsid w:val="003E258B"/>
    <w:rsid w:val="003E4AFD"/>
    <w:rsid w:val="003F62E5"/>
    <w:rsid w:val="003F7F71"/>
    <w:rsid w:val="00406BBB"/>
    <w:rsid w:val="00410771"/>
    <w:rsid w:val="00414698"/>
    <w:rsid w:val="0041718C"/>
    <w:rsid w:val="0042023B"/>
    <w:rsid w:val="00422BC2"/>
    <w:rsid w:val="00430FE7"/>
    <w:rsid w:val="004365C2"/>
    <w:rsid w:val="00436ACD"/>
    <w:rsid w:val="00436ED6"/>
    <w:rsid w:val="004429A5"/>
    <w:rsid w:val="00443137"/>
    <w:rsid w:val="00443B7A"/>
    <w:rsid w:val="004536B3"/>
    <w:rsid w:val="00454179"/>
    <w:rsid w:val="004547D8"/>
    <w:rsid w:val="0045759F"/>
    <w:rsid w:val="0046773F"/>
    <w:rsid w:val="004719C5"/>
    <w:rsid w:val="00472464"/>
    <w:rsid w:val="00472EE0"/>
    <w:rsid w:val="00473139"/>
    <w:rsid w:val="00484B78"/>
    <w:rsid w:val="004A75FC"/>
    <w:rsid w:val="004B7086"/>
    <w:rsid w:val="004D1547"/>
    <w:rsid w:val="004D2F21"/>
    <w:rsid w:val="004D6D37"/>
    <w:rsid w:val="004D6EA7"/>
    <w:rsid w:val="004D7738"/>
    <w:rsid w:val="004E38C3"/>
    <w:rsid w:val="004F20F2"/>
    <w:rsid w:val="004F4D0E"/>
    <w:rsid w:val="005009C4"/>
    <w:rsid w:val="00502130"/>
    <w:rsid w:val="0050527A"/>
    <w:rsid w:val="005055C4"/>
    <w:rsid w:val="00510FC2"/>
    <w:rsid w:val="00512618"/>
    <w:rsid w:val="00515EC6"/>
    <w:rsid w:val="0052041C"/>
    <w:rsid w:val="00526F2C"/>
    <w:rsid w:val="005273D2"/>
    <w:rsid w:val="00534B70"/>
    <w:rsid w:val="00535B40"/>
    <w:rsid w:val="00540903"/>
    <w:rsid w:val="005454E1"/>
    <w:rsid w:val="0054612E"/>
    <w:rsid w:val="0054644A"/>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B0731"/>
    <w:rsid w:val="005B535C"/>
    <w:rsid w:val="005C7CC0"/>
    <w:rsid w:val="005D13F2"/>
    <w:rsid w:val="005D1E3E"/>
    <w:rsid w:val="005D2C76"/>
    <w:rsid w:val="005E17B6"/>
    <w:rsid w:val="005F39EE"/>
    <w:rsid w:val="005F6116"/>
    <w:rsid w:val="00614A9E"/>
    <w:rsid w:val="006201F9"/>
    <w:rsid w:val="00620241"/>
    <w:rsid w:val="00621C58"/>
    <w:rsid w:val="006263BA"/>
    <w:rsid w:val="0063071C"/>
    <w:rsid w:val="00635290"/>
    <w:rsid w:val="006377E2"/>
    <w:rsid w:val="0064377C"/>
    <w:rsid w:val="00645C9F"/>
    <w:rsid w:val="00646416"/>
    <w:rsid w:val="00650CD4"/>
    <w:rsid w:val="00653CD3"/>
    <w:rsid w:val="00656B63"/>
    <w:rsid w:val="00675769"/>
    <w:rsid w:val="00686CFC"/>
    <w:rsid w:val="00690628"/>
    <w:rsid w:val="006A080C"/>
    <w:rsid w:val="006A4742"/>
    <w:rsid w:val="006A59C9"/>
    <w:rsid w:val="006C3E5A"/>
    <w:rsid w:val="006C6B75"/>
    <w:rsid w:val="006C7BD0"/>
    <w:rsid w:val="006D1970"/>
    <w:rsid w:val="006D2E2D"/>
    <w:rsid w:val="006D50E0"/>
    <w:rsid w:val="006D674C"/>
    <w:rsid w:val="006E47C9"/>
    <w:rsid w:val="006E747A"/>
    <w:rsid w:val="006F1CC4"/>
    <w:rsid w:val="006F53D8"/>
    <w:rsid w:val="006F5B2F"/>
    <w:rsid w:val="006F6F17"/>
    <w:rsid w:val="00704687"/>
    <w:rsid w:val="0070537D"/>
    <w:rsid w:val="00711EAE"/>
    <w:rsid w:val="00716EED"/>
    <w:rsid w:val="00717E60"/>
    <w:rsid w:val="007220FE"/>
    <w:rsid w:val="00725066"/>
    <w:rsid w:val="007262F6"/>
    <w:rsid w:val="00726ED1"/>
    <w:rsid w:val="007319FA"/>
    <w:rsid w:val="00733E8A"/>
    <w:rsid w:val="0073528A"/>
    <w:rsid w:val="0074032F"/>
    <w:rsid w:val="007464C1"/>
    <w:rsid w:val="007534D8"/>
    <w:rsid w:val="00757A8E"/>
    <w:rsid w:val="007658C5"/>
    <w:rsid w:val="00772C68"/>
    <w:rsid w:val="00775D08"/>
    <w:rsid w:val="00784704"/>
    <w:rsid w:val="00784C0E"/>
    <w:rsid w:val="00790718"/>
    <w:rsid w:val="0079431E"/>
    <w:rsid w:val="00796748"/>
    <w:rsid w:val="007D0721"/>
    <w:rsid w:val="007D53C0"/>
    <w:rsid w:val="007D726A"/>
    <w:rsid w:val="007E4CE9"/>
    <w:rsid w:val="007E534D"/>
    <w:rsid w:val="007F3382"/>
    <w:rsid w:val="007F65C2"/>
    <w:rsid w:val="0081102F"/>
    <w:rsid w:val="008224F1"/>
    <w:rsid w:val="00822D28"/>
    <w:rsid w:val="008252AE"/>
    <w:rsid w:val="00825CC5"/>
    <w:rsid w:val="00827897"/>
    <w:rsid w:val="00827D48"/>
    <w:rsid w:val="00832007"/>
    <w:rsid w:val="00832A98"/>
    <w:rsid w:val="00845E27"/>
    <w:rsid w:val="008478BF"/>
    <w:rsid w:val="0085135C"/>
    <w:rsid w:val="00851E23"/>
    <w:rsid w:val="0085422B"/>
    <w:rsid w:val="00865D09"/>
    <w:rsid w:val="00867099"/>
    <w:rsid w:val="008738DA"/>
    <w:rsid w:val="00882155"/>
    <w:rsid w:val="008826DE"/>
    <w:rsid w:val="00884487"/>
    <w:rsid w:val="00891F6E"/>
    <w:rsid w:val="00897901"/>
    <w:rsid w:val="008A5C00"/>
    <w:rsid w:val="008C26EC"/>
    <w:rsid w:val="008C3178"/>
    <w:rsid w:val="008D4713"/>
    <w:rsid w:val="008E16A9"/>
    <w:rsid w:val="008E3B4B"/>
    <w:rsid w:val="008E73FF"/>
    <w:rsid w:val="008F036A"/>
    <w:rsid w:val="00904E8F"/>
    <w:rsid w:val="00923228"/>
    <w:rsid w:val="00925059"/>
    <w:rsid w:val="00932DC2"/>
    <w:rsid w:val="009369D4"/>
    <w:rsid w:val="00940E26"/>
    <w:rsid w:val="00943386"/>
    <w:rsid w:val="00955AD5"/>
    <w:rsid w:val="00963035"/>
    <w:rsid w:val="00970256"/>
    <w:rsid w:val="00971A00"/>
    <w:rsid w:val="0098360E"/>
    <w:rsid w:val="0099002A"/>
    <w:rsid w:val="009909AE"/>
    <w:rsid w:val="009913CB"/>
    <w:rsid w:val="00994E84"/>
    <w:rsid w:val="009B577E"/>
    <w:rsid w:val="009B77E0"/>
    <w:rsid w:val="009D26F3"/>
    <w:rsid w:val="009D2CD7"/>
    <w:rsid w:val="009D2E80"/>
    <w:rsid w:val="009D6A99"/>
    <w:rsid w:val="009E56A5"/>
    <w:rsid w:val="009F1F32"/>
    <w:rsid w:val="009F7C5C"/>
    <w:rsid w:val="00A00F74"/>
    <w:rsid w:val="00A03395"/>
    <w:rsid w:val="00A03C57"/>
    <w:rsid w:val="00A04DF9"/>
    <w:rsid w:val="00A13979"/>
    <w:rsid w:val="00A1752C"/>
    <w:rsid w:val="00A17C20"/>
    <w:rsid w:val="00A23D1D"/>
    <w:rsid w:val="00A34543"/>
    <w:rsid w:val="00A445C4"/>
    <w:rsid w:val="00A454A3"/>
    <w:rsid w:val="00A475A4"/>
    <w:rsid w:val="00A6267C"/>
    <w:rsid w:val="00A64A74"/>
    <w:rsid w:val="00A65A50"/>
    <w:rsid w:val="00A71334"/>
    <w:rsid w:val="00A72BC3"/>
    <w:rsid w:val="00A733B3"/>
    <w:rsid w:val="00A73456"/>
    <w:rsid w:val="00A746D6"/>
    <w:rsid w:val="00A87CA3"/>
    <w:rsid w:val="00A9097D"/>
    <w:rsid w:val="00A9108F"/>
    <w:rsid w:val="00AA1AD5"/>
    <w:rsid w:val="00AA50ED"/>
    <w:rsid w:val="00AA5D26"/>
    <w:rsid w:val="00AA7D42"/>
    <w:rsid w:val="00AB1490"/>
    <w:rsid w:val="00AB1E0C"/>
    <w:rsid w:val="00AC6E2D"/>
    <w:rsid w:val="00AC7691"/>
    <w:rsid w:val="00AD2318"/>
    <w:rsid w:val="00AD241C"/>
    <w:rsid w:val="00AD4BB0"/>
    <w:rsid w:val="00AD7A86"/>
    <w:rsid w:val="00AE7223"/>
    <w:rsid w:val="00AF2913"/>
    <w:rsid w:val="00AF410A"/>
    <w:rsid w:val="00AF4B9F"/>
    <w:rsid w:val="00B00E6D"/>
    <w:rsid w:val="00B06AF0"/>
    <w:rsid w:val="00B071CD"/>
    <w:rsid w:val="00B13142"/>
    <w:rsid w:val="00B14B01"/>
    <w:rsid w:val="00B16092"/>
    <w:rsid w:val="00B23BFF"/>
    <w:rsid w:val="00B2496D"/>
    <w:rsid w:val="00B2765B"/>
    <w:rsid w:val="00B4168D"/>
    <w:rsid w:val="00B44299"/>
    <w:rsid w:val="00B443B8"/>
    <w:rsid w:val="00B44B0B"/>
    <w:rsid w:val="00B5207F"/>
    <w:rsid w:val="00B53A06"/>
    <w:rsid w:val="00B542DB"/>
    <w:rsid w:val="00B5607E"/>
    <w:rsid w:val="00B625C5"/>
    <w:rsid w:val="00B65F01"/>
    <w:rsid w:val="00B66DF8"/>
    <w:rsid w:val="00B702CF"/>
    <w:rsid w:val="00B7134A"/>
    <w:rsid w:val="00B808B4"/>
    <w:rsid w:val="00B80EE1"/>
    <w:rsid w:val="00B83278"/>
    <w:rsid w:val="00B84D28"/>
    <w:rsid w:val="00B86225"/>
    <w:rsid w:val="00B93DEF"/>
    <w:rsid w:val="00B93F14"/>
    <w:rsid w:val="00B947D2"/>
    <w:rsid w:val="00B96323"/>
    <w:rsid w:val="00BA1714"/>
    <w:rsid w:val="00BA2078"/>
    <w:rsid w:val="00BA51A6"/>
    <w:rsid w:val="00BA7236"/>
    <w:rsid w:val="00BB1C1C"/>
    <w:rsid w:val="00BB3D83"/>
    <w:rsid w:val="00BB41B0"/>
    <w:rsid w:val="00BC21A0"/>
    <w:rsid w:val="00BD0781"/>
    <w:rsid w:val="00BD26A1"/>
    <w:rsid w:val="00BD2B62"/>
    <w:rsid w:val="00BD6E52"/>
    <w:rsid w:val="00BE280F"/>
    <w:rsid w:val="00BF0174"/>
    <w:rsid w:val="00BF6332"/>
    <w:rsid w:val="00C06046"/>
    <w:rsid w:val="00C10985"/>
    <w:rsid w:val="00C12452"/>
    <w:rsid w:val="00C129B8"/>
    <w:rsid w:val="00C203CD"/>
    <w:rsid w:val="00C23AA7"/>
    <w:rsid w:val="00C24D2C"/>
    <w:rsid w:val="00C31779"/>
    <w:rsid w:val="00C41960"/>
    <w:rsid w:val="00C556A8"/>
    <w:rsid w:val="00C56613"/>
    <w:rsid w:val="00C56FBE"/>
    <w:rsid w:val="00C65C70"/>
    <w:rsid w:val="00C85073"/>
    <w:rsid w:val="00C905C8"/>
    <w:rsid w:val="00C9068E"/>
    <w:rsid w:val="00C913D7"/>
    <w:rsid w:val="00C91AFA"/>
    <w:rsid w:val="00C94588"/>
    <w:rsid w:val="00C960BA"/>
    <w:rsid w:val="00C96F05"/>
    <w:rsid w:val="00C97570"/>
    <w:rsid w:val="00CB00FD"/>
    <w:rsid w:val="00CB03FF"/>
    <w:rsid w:val="00CB13B5"/>
    <w:rsid w:val="00CB7E48"/>
    <w:rsid w:val="00CD146B"/>
    <w:rsid w:val="00CD20E3"/>
    <w:rsid w:val="00CD21F6"/>
    <w:rsid w:val="00CD3ABF"/>
    <w:rsid w:val="00CD752D"/>
    <w:rsid w:val="00CE2D37"/>
    <w:rsid w:val="00CE3E45"/>
    <w:rsid w:val="00CE5D69"/>
    <w:rsid w:val="00CE671F"/>
    <w:rsid w:val="00CF2EE6"/>
    <w:rsid w:val="00D00418"/>
    <w:rsid w:val="00D11841"/>
    <w:rsid w:val="00D23FF1"/>
    <w:rsid w:val="00D30C4B"/>
    <w:rsid w:val="00D3470C"/>
    <w:rsid w:val="00D43EDD"/>
    <w:rsid w:val="00D5646C"/>
    <w:rsid w:val="00D60D0C"/>
    <w:rsid w:val="00D91641"/>
    <w:rsid w:val="00D917A0"/>
    <w:rsid w:val="00D9233A"/>
    <w:rsid w:val="00D96F15"/>
    <w:rsid w:val="00DA234D"/>
    <w:rsid w:val="00DA3BEE"/>
    <w:rsid w:val="00DA4205"/>
    <w:rsid w:val="00DA6A5C"/>
    <w:rsid w:val="00DA7A89"/>
    <w:rsid w:val="00DB5575"/>
    <w:rsid w:val="00DC0EFA"/>
    <w:rsid w:val="00DC58A8"/>
    <w:rsid w:val="00DC60B8"/>
    <w:rsid w:val="00DC71A7"/>
    <w:rsid w:val="00DD02FC"/>
    <w:rsid w:val="00DF067C"/>
    <w:rsid w:val="00DF3326"/>
    <w:rsid w:val="00DF56BA"/>
    <w:rsid w:val="00DF6F9B"/>
    <w:rsid w:val="00E03791"/>
    <w:rsid w:val="00E12BD4"/>
    <w:rsid w:val="00E1706D"/>
    <w:rsid w:val="00E31179"/>
    <w:rsid w:val="00E44F29"/>
    <w:rsid w:val="00E51944"/>
    <w:rsid w:val="00E524F1"/>
    <w:rsid w:val="00E540B8"/>
    <w:rsid w:val="00E56DE3"/>
    <w:rsid w:val="00E60EB1"/>
    <w:rsid w:val="00E71A5E"/>
    <w:rsid w:val="00E740C9"/>
    <w:rsid w:val="00E82285"/>
    <w:rsid w:val="00E822C9"/>
    <w:rsid w:val="00E923CD"/>
    <w:rsid w:val="00EA1258"/>
    <w:rsid w:val="00EA4DFE"/>
    <w:rsid w:val="00EA7D86"/>
    <w:rsid w:val="00EC0618"/>
    <w:rsid w:val="00EC2B0A"/>
    <w:rsid w:val="00EC370B"/>
    <w:rsid w:val="00EC377C"/>
    <w:rsid w:val="00F050F0"/>
    <w:rsid w:val="00F074CB"/>
    <w:rsid w:val="00F133CF"/>
    <w:rsid w:val="00F15C03"/>
    <w:rsid w:val="00F15F2B"/>
    <w:rsid w:val="00F1611A"/>
    <w:rsid w:val="00F22047"/>
    <w:rsid w:val="00F23D30"/>
    <w:rsid w:val="00F25F10"/>
    <w:rsid w:val="00F26DE8"/>
    <w:rsid w:val="00F27077"/>
    <w:rsid w:val="00F305B6"/>
    <w:rsid w:val="00F35F3D"/>
    <w:rsid w:val="00F47EAD"/>
    <w:rsid w:val="00F52007"/>
    <w:rsid w:val="00F5227C"/>
    <w:rsid w:val="00F54D95"/>
    <w:rsid w:val="00F566D2"/>
    <w:rsid w:val="00F57D1D"/>
    <w:rsid w:val="00F622CB"/>
    <w:rsid w:val="00F62B0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E53C3"/>
    <w:rsid w:val="00FE7CD9"/>
    <w:rsid w:val="00FF029C"/>
    <w:rsid w:val="00FF1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C65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09633">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804205044">
      <w:bodyDiv w:val="1"/>
      <w:marLeft w:val="0"/>
      <w:marRight w:val="0"/>
      <w:marTop w:val="0"/>
      <w:marBottom w:val="0"/>
      <w:divBdr>
        <w:top w:val="none" w:sz="0" w:space="0" w:color="auto"/>
        <w:left w:val="none" w:sz="0" w:space="0" w:color="auto"/>
        <w:bottom w:val="none" w:sz="0" w:space="0" w:color="auto"/>
        <w:right w:val="none" w:sz="0" w:space="0" w:color="auto"/>
      </w:divBdr>
    </w:div>
    <w:div w:id="1141532037">
      <w:bodyDiv w:val="1"/>
      <w:marLeft w:val="0"/>
      <w:marRight w:val="0"/>
      <w:marTop w:val="0"/>
      <w:marBottom w:val="0"/>
      <w:divBdr>
        <w:top w:val="none" w:sz="0" w:space="0" w:color="auto"/>
        <w:left w:val="none" w:sz="0" w:space="0" w:color="auto"/>
        <w:bottom w:val="none" w:sz="0" w:space="0" w:color="auto"/>
        <w:right w:val="none" w:sz="0" w:space="0" w:color="auto"/>
      </w:divBdr>
    </w:div>
    <w:div w:id="1155881560">
      <w:bodyDiv w:val="1"/>
      <w:marLeft w:val="0"/>
      <w:marRight w:val="0"/>
      <w:marTop w:val="0"/>
      <w:marBottom w:val="0"/>
      <w:divBdr>
        <w:top w:val="none" w:sz="0" w:space="0" w:color="auto"/>
        <w:left w:val="none" w:sz="0" w:space="0" w:color="auto"/>
        <w:bottom w:val="none" w:sz="0" w:space="0" w:color="auto"/>
        <w:right w:val="none" w:sz="0" w:space="0" w:color="auto"/>
      </w:divBdr>
    </w:div>
    <w:div w:id="1711220166">
      <w:bodyDiv w:val="1"/>
      <w:marLeft w:val="0"/>
      <w:marRight w:val="0"/>
      <w:marTop w:val="0"/>
      <w:marBottom w:val="0"/>
      <w:divBdr>
        <w:top w:val="none" w:sz="0" w:space="0" w:color="auto"/>
        <w:left w:val="none" w:sz="0" w:space="0" w:color="auto"/>
        <w:bottom w:val="none" w:sz="0" w:space="0" w:color="auto"/>
        <w:right w:val="none" w:sz="0" w:space="0" w:color="auto"/>
      </w:divBdr>
    </w:div>
    <w:div w:id="1853565508">
      <w:bodyDiv w:val="1"/>
      <w:marLeft w:val="0"/>
      <w:marRight w:val="0"/>
      <w:marTop w:val="0"/>
      <w:marBottom w:val="0"/>
      <w:divBdr>
        <w:top w:val="none" w:sz="0" w:space="0" w:color="auto"/>
        <w:left w:val="none" w:sz="0" w:space="0" w:color="auto"/>
        <w:bottom w:val="none" w:sz="0" w:space="0" w:color="auto"/>
        <w:right w:val="none" w:sz="0" w:space="0" w:color="auto"/>
      </w:divBdr>
    </w:div>
    <w:div w:id="1987510419">
      <w:bodyDiv w:val="1"/>
      <w:marLeft w:val="0"/>
      <w:marRight w:val="0"/>
      <w:marTop w:val="0"/>
      <w:marBottom w:val="0"/>
      <w:divBdr>
        <w:top w:val="none" w:sz="0" w:space="0" w:color="auto"/>
        <w:left w:val="none" w:sz="0" w:space="0" w:color="auto"/>
        <w:bottom w:val="none" w:sz="0" w:space="0" w:color="auto"/>
        <w:right w:val="none" w:sz="0" w:space="0" w:color="auto"/>
      </w:divBdr>
    </w:div>
    <w:div w:id="20986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ombudsman.org/aboutus/publications/Equ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751B-748E-439F-BEC5-7510EC7B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2016-08-22T09:30:00Z</dcterms:created>
  <dcterms:modified xsi:type="dcterms:W3CDTF">2016-08-31T15:20:00Z</dcterms:modified>
</cp:coreProperties>
</file>